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2D7E8D">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汨罗市</w:t>
      </w:r>
      <w:r>
        <w:rPr>
          <w:rFonts w:hint="eastAsia" w:ascii="方正小标宋简体" w:hAnsi="方正小标宋简体" w:eastAsia="方正小标宋简体" w:cs="方正小标宋简体"/>
          <w:sz w:val="44"/>
          <w:szCs w:val="44"/>
        </w:rPr>
        <w:t>秸秆禁限烧区划定方案</w:t>
      </w:r>
    </w:p>
    <w:p w14:paraId="1A686D6E">
      <w:pPr>
        <w:pStyle w:val="6"/>
        <w:spacing w:line="600" w:lineRule="exact"/>
        <w:ind w:firstLine="640"/>
        <w:rPr>
          <w:rFonts w:hint="eastAsia" w:ascii="仿宋_GB2312" w:hAnsi="仿宋_GB2312" w:cs="仿宋_GB2312"/>
        </w:rPr>
      </w:pPr>
      <w:r>
        <w:rPr>
          <w:rFonts w:hint="eastAsia" w:ascii="仿宋_GB2312" w:hAnsi="仿宋_GB2312" w:cs="仿宋_GB2312"/>
        </w:rPr>
        <w:t>为切实加强秸秆露天禁烧工作，减少大气污染，进一步改善城市环境空气质量，保障人民群众身体健康，根据《中华人民共和国大气污染防治法》《湖南省大气污染防治条例》和《湖南省秸秆综合利用若干规定》等法律法规等规定，按照《关于精准划定秸秆禁烧区和限烧区的指导意见》</w:t>
      </w:r>
      <w:r>
        <w:rPr>
          <w:rFonts w:hint="eastAsia" w:ascii="仿宋_GB2312" w:hAnsi="仿宋_GB2312" w:cs="仿宋_GB2312"/>
          <w:lang w:eastAsia="zh-CN"/>
        </w:rPr>
        <w:t>（</w:t>
      </w:r>
      <w:r>
        <w:rPr>
          <w:rFonts w:hint="eastAsia" w:ascii="仿宋_GB2312" w:hAnsi="仿宋_GB2312" w:cs="仿宋_GB2312"/>
          <w:lang w:val="en-US" w:eastAsia="zh-CN"/>
        </w:rPr>
        <w:t>以下简称《指导意见》</w:t>
      </w:r>
      <w:r>
        <w:rPr>
          <w:rFonts w:hint="eastAsia" w:ascii="仿宋_GB2312" w:hAnsi="仿宋_GB2312" w:cs="仿宋_GB2312"/>
          <w:lang w:eastAsia="zh-CN"/>
        </w:rPr>
        <w:t>）</w:t>
      </w:r>
      <w:r>
        <w:rPr>
          <w:rFonts w:hint="eastAsia" w:ascii="仿宋_GB2312" w:hAnsi="仿宋_GB2312" w:cs="仿宋_GB2312"/>
        </w:rPr>
        <w:t>要求，结合</w:t>
      </w:r>
      <w:r>
        <w:rPr>
          <w:rFonts w:hint="eastAsia" w:ascii="仿宋_GB2312" w:hAnsi="仿宋_GB2312" w:cs="仿宋_GB2312"/>
          <w:lang w:val="en-US" w:eastAsia="zh-CN"/>
        </w:rPr>
        <w:t>我市</w:t>
      </w:r>
      <w:r>
        <w:rPr>
          <w:rFonts w:hint="eastAsia" w:ascii="仿宋_GB2312" w:hAnsi="仿宋_GB2312" w:cs="仿宋_GB2312"/>
        </w:rPr>
        <w:t>实际，划定全</w:t>
      </w:r>
      <w:r>
        <w:rPr>
          <w:rFonts w:hint="eastAsia" w:ascii="仿宋_GB2312" w:hAnsi="仿宋_GB2312" w:cs="仿宋_GB2312"/>
          <w:lang w:val="en-US" w:eastAsia="zh-CN"/>
        </w:rPr>
        <w:t>市</w:t>
      </w:r>
      <w:r>
        <w:rPr>
          <w:rFonts w:hint="eastAsia" w:ascii="仿宋_GB2312" w:hAnsi="仿宋_GB2312" w:cs="仿宋_GB2312"/>
        </w:rPr>
        <w:t>秸秆禁烧区和限烧区，制定本方案。</w:t>
      </w:r>
    </w:p>
    <w:p w14:paraId="054B4655">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一、划定依据</w:t>
      </w:r>
    </w:p>
    <w:p w14:paraId="32426DA1">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（1）《中华人民共和国大气污染防治法》</w:t>
      </w:r>
    </w:p>
    <w:p w14:paraId="7EE92AAF">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（2）《中华人民共和国自然保护区条例》</w:t>
      </w:r>
    </w:p>
    <w:p w14:paraId="223AB28F">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（3）《民用机场管理条例》</w:t>
      </w:r>
    </w:p>
    <w:p w14:paraId="51A4F90D">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（4）《高速铁路安全防护管理办法》</w:t>
      </w:r>
    </w:p>
    <w:p w14:paraId="5744AC9B">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（5）《湖南省大气污染防治条例》</w:t>
      </w:r>
    </w:p>
    <w:p w14:paraId="15DAF29C">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（6）《湖南省秸秆综合利用若干规定》</w:t>
      </w:r>
    </w:p>
    <w:p w14:paraId="55572467">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（7）《关于精准划定秸秆禁烧区和限烧区的指导意见（试行）》</w:t>
      </w:r>
    </w:p>
    <w:p w14:paraId="48E1982C">
      <w:p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（8）《关于印发〈湖南省秸秆禁烧区和限烧区划定方案〉的通知》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湘环发〔2025〕43号</w:t>
      </w:r>
      <w:r>
        <w:rPr>
          <w:rFonts w:hint="eastAsia" w:ascii="仿宋_GB2312" w:hAnsi="仿宋_GB2312" w:eastAsia="仿宋_GB2312" w:cs="仿宋_GB2312"/>
          <w:sz w:val="32"/>
          <w:szCs w:val="32"/>
          <w:lang w:eastAsia="zh-CN"/>
        </w:rPr>
        <w:t>）</w:t>
      </w:r>
    </w:p>
    <w:p w14:paraId="60744115">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）《岳阳市国土空间总体规划（2021-2035年）》</w:t>
      </w:r>
    </w:p>
    <w:p w14:paraId="1AB0A26A">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二、禁止露天焚烧农作物秸秆种类</w:t>
      </w:r>
    </w:p>
    <w:p w14:paraId="44AEE590">
      <w:pPr>
        <w:spacing w:line="580" w:lineRule="exact"/>
        <w:ind w:firstLine="640" w:firstLineChars="200"/>
        <w:rPr>
          <w:sz w:val="32"/>
          <w:szCs w:val="32"/>
        </w:rPr>
      </w:pPr>
      <w:r>
        <w:rPr>
          <w:rFonts w:hint="eastAsia" w:ascii="仿宋_GB2312" w:hAnsi="仿宋_GB2312" w:eastAsia="仿宋_GB2312" w:cs="仿宋_GB2312"/>
          <w:sz w:val="32"/>
          <w:szCs w:val="32"/>
        </w:rPr>
        <w:t>禁止露天焚烧秸秆的种类包括水稻、玉米、油菜、大豆、棉花、甘蔗及其他农作物收获籽实后的剩余物质。</w:t>
      </w:r>
    </w:p>
    <w:p w14:paraId="12869CAD">
      <w:pPr>
        <w:spacing w:line="580" w:lineRule="exact"/>
        <w:ind w:firstLine="640" w:firstLineChars="200"/>
        <w:rPr>
          <w:rFonts w:eastAsia="黑体"/>
          <w:sz w:val="32"/>
          <w:szCs w:val="32"/>
        </w:rPr>
      </w:pPr>
      <w:r>
        <w:rPr>
          <w:rFonts w:hint="eastAsia" w:ascii="黑体" w:hAnsi="黑体" w:eastAsia="黑体" w:cs="黑体"/>
          <w:sz w:val="32"/>
          <w:szCs w:val="32"/>
        </w:rPr>
        <w:t>三、划定目标与原则</w:t>
      </w:r>
    </w:p>
    <w:p w14:paraId="1BBCB783">
      <w:pPr>
        <w:spacing w:line="58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（一）目标</w:t>
      </w:r>
    </w:p>
    <w:p w14:paraId="104B5347">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汨罗</w:t>
      </w:r>
      <w:r>
        <w:rPr>
          <w:rFonts w:hint="eastAsia" w:ascii="仿宋_GB2312" w:hAnsi="仿宋_GB2312" w:eastAsia="仿宋_GB2312" w:cs="仿宋_GB2312"/>
          <w:sz w:val="32"/>
          <w:szCs w:val="32"/>
        </w:rPr>
        <w:t>市域范围区域内划定的禁烧区总体目标定为禁烧区范围内耕地面积占全市域整体耕地面积比例不低于90%。</w:t>
      </w:r>
    </w:p>
    <w:p w14:paraId="67E424E4">
      <w:pPr>
        <w:spacing w:line="58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（二）原则</w:t>
      </w:r>
    </w:p>
    <w:p w14:paraId="06687491">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统一划定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按照省级制定的Ⅰ类禁烧管控区要求，严格控制禁烧区比例，对人口集中地区（市人民政府所在城市城区实体地域及外围不低于5公里范围内）、交通干线附近（高速公路、铁路、高铁沿线两侧不低于2公里范围内，国道、省道公路干线沿线两侧不低于1公里范围内）等需要特殊保护的区域一定范围内的耕地，应禁止秸秆露天焚烧，严格按要求划入禁烧区</w:t>
      </w:r>
      <w:r>
        <w:rPr>
          <w:rFonts w:hint="eastAsia" w:ascii="仿宋_GB2312" w:hAnsi="仿宋_GB2312" w:eastAsia="仿宋_GB2312" w:cs="仿宋_GB2312"/>
          <w:sz w:val="32"/>
          <w:szCs w:val="32"/>
        </w:rPr>
        <w:t>。</w:t>
      </w:r>
    </w:p>
    <w:p w14:paraId="6928FB5F">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因地制宜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综合考虑地形地貌、空气质量状况、农作物种植分布区域、气象条件、秸秆综合利用情况等，确定秸秆禁烧区划定范围。</w:t>
      </w:r>
    </w:p>
    <w:p w14:paraId="332B394D">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动态调整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秸秆禁烧区可根据环境空气质量、土地利用、耕地分布及秸秆综合利用变化情况进行适时调整。</w:t>
      </w:r>
    </w:p>
    <w:p w14:paraId="7C380022">
      <w:pPr>
        <w:spacing w:line="580" w:lineRule="exact"/>
        <w:ind w:firstLine="640" w:firstLineChars="200"/>
        <w:rPr>
          <w:rFonts w:eastAsia="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、划定范围</w:t>
      </w:r>
    </w:p>
    <w:p w14:paraId="389BE899">
      <w:pPr>
        <w:spacing w:line="620" w:lineRule="exact"/>
        <w:ind w:firstLine="640" w:firstLineChars="200"/>
        <w:rPr>
          <w:rFonts w:hint="eastAsia" w:ascii="仿宋_GB2312" w:hAnsi="仿宋_GB2312" w:eastAsia="仿宋_GB2312" w:cs="仿宋_GB2312"/>
          <w:sz w:val="32"/>
          <w:szCs w:val="32"/>
        </w:rPr>
      </w:pPr>
      <w:bookmarkStart w:id="0" w:name="OLE_LINK1"/>
      <w:r>
        <w:rPr>
          <w:rFonts w:hint="eastAsia" w:ascii="仿宋_GB2312" w:hAnsi="仿宋_GB2312" w:eastAsia="仿宋_GB2312" w:cs="仿宋_GB2312"/>
          <w:sz w:val="32"/>
          <w:szCs w:val="32"/>
          <w:lang w:val="en-US" w:eastAsia="zh-CN"/>
        </w:rPr>
        <w:t>汨罗</w:t>
      </w:r>
      <w:r>
        <w:rPr>
          <w:rFonts w:hint="eastAsia" w:ascii="仿宋_GB2312" w:hAnsi="仿宋_GB2312" w:eastAsia="仿宋_GB2312" w:cs="仿宋_GB2312"/>
          <w:sz w:val="32"/>
          <w:szCs w:val="32"/>
        </w:rPr>
        <w:t>市</w:t>
      </w:r>
      <w:bookmarkEnd w:id="0"/>
      <w:r>
        <w:rPr>
          <w:rFonts w:hint="eastAsia" w:ascii="仿宋_GB2312" w:hAnsi="仿宋_GB2312" w:eastAsia="仿宋_GB2312" w:cs="仿宋_GB2312"/>
          <w:sz w:val="32"/>
          <w:szCs w:val="32"/>
        </w:rPr>
        <w:t>行政区总面积</w:t>
      </w:r>
      <w:r>
        <w:rPr>
          <w:rFonts w:hint="eastAsia" w:ascii="仿宋_GB2312" w:hAnsi="仿宋_GB2312" w:eastAsia="仿宋_GB2312" w:cs="仿宋_GB2312"/>
          <w:sz w:val="32"/>
          <w:szCs w:val="32"/>
          <w:lang w:val="en-US" w:eastAsia="zh-CN"/>
        </w:rPr>
        <w:t>1562</w:t>
      </w:r>
      <w:r>
        <w:rPr>
          <w:rFonts w:hint="eastAsia" w:ascii="仿宋_GB2312" w:hAnsi="仿宋_GB2312" w:eastAsia="仿宋_GB2312" w:cs="仿宋_GB2312"/>
          <w:sz w:val="32"/>
          <w:szCs w:val="32"/>
        </w:rPr>
        <w:t>平方公里，辖区耕地总面积</w:t>
      </w:r>
      <w:r>
        <w:rPr>
          <w:rFonts w:hint="eastAsia" w:ascii="仿宋_GB2312" w:hAnsi="仿宋_GB2312" w:eastAsia="仿宋_GB2312" w:cs="仿宋_GB2312"/>
          <w:sz w:val="32"/>
          <w:szCs w:val="32"/>
          <w:lang w:val="en-US" w:eastAsia="zh-CN"/>
        </w:rPr>
        <w:t>66.79</w:t>
      </w:r>
      <w:r>
        <w:rPr>
          <w:rFonts w:hint="eastAsia" w:ascii="仿宋_GB2312" w:hAnsi="仿宋_GB2312" w:eastAsia="仿宋_GB2312" w:cs="仿宋_GB2312"/>
          <w:sz w:val="32"/>
          <w:szCs w:val="32"/>
        </w:rPr>
        <w:t>万亩。按照</w:t>
      </w:r>
      <w:r>
        <w:rPr>
          <w:rFonts w:hint="eastAsia" w:ascii="仿宋_GB2312" w:hAnsi="仿宋_GB2312" w:eastAsia="仿宋_GB2312" w:cs="仿宋_GB2312"/>
          <w:sz w:val="32"/>
          <w:szCs w:val="32"/>
          <w:lang w:val="en-US" w:eastAsia="zh-CN"/>
        </w:rPr>
        <w:t>省级</w:t>
      </w:r>
      <w:r>
        <w:rPr>
          <w:rFonts w:hint="eastAsia" w:ascii="仿宋_GB2312" w:hAnsi="仿宋_GB2312" w:eastAsia="仿宋_GB2312" w:cs="仿宋_GB2312"/>
          <w:sz w:val="32"/>
          <w:szCs w:val="32"/>
        </w:rPr>
        <w:t>《指导意见》，</w:t>
      </w:r>
      <w:r>
        <w:rPr>
          <w:rFonts w:hint="eastAsia" w:ascii="仿宋_GB2312" w:hAnsi="仿宋_GB2312" w:eastAsia="仿宋_GB2312" w:cs="仿宋_GB2312"/>
          <w:sz w:val="32"/>
          <w:szCs w:val="32"/>
          <w:lang w:val="en-US" w:eastAsia="zh-CN"/>
        </w:rPr>
        <w:t>岳阳市</w:t>
      </w:r>
      <w:r>
        <w:rPr>
          <w:rFonts w:hint="eastAsia" w:ascii="仿宋_GB2312" w:hAnsi="仿宋_GB2312" w:eastAsia="仿宋_GB2312" w:cs="仿宋_GB2312"/>
          <w:sz w:val="32"/>
          <w:szCs w:val="32"/>
        </w:rPr>
        <w:t>属于Ⅰ类禁烧管控分区，经</w:t>
      </w:r>
      <w:r>
        <w:rPr>
          <w:rFonts w:hint="eastAsia" w:ascii="仿宋_GB2312" w:hAnsi="仿宋_GB2312" w:eastAsia="仿宋_GB2312" w:cs="仿宋_GB2312"/>
          <w:sz w:val="32"/>
          <w:szCs w:val="32"/>
          <w:lang w:val="en-US" w:eastAsia="zh-CN"/>
        </w:rPr>
        <w:t>划分</w:t>
      </w:r>
      <w:r>
        <w:rPr>
          <w:rFonts w:hint="eastAsia" w:ascii="仿宋_GB2312" w:hAnsi="仿宋_GB2312" w:eastAsia="仿宋_GB2312" w:cs="仿宋_GB2312"/>
          <w:sz w:val="32"/>
          <w:szCs w:val="32"/>
        </w:rPr>
        <w:t>统计，</w:t>
      </w:r>
      <w:r>
        <w:rPr>
          <w:rFonts w:hint="eastAsia" w:ascii="仿宋_GB2312" w:hAnsi="仿宋_GB2312" w:eastAsia="仿宋_GB2312" w:cs="仿宋_GB2312"/>
          <w:sz w:val="32"/>
          <w:szCs w:val="32"/>
          <w:lang w:val="en-US" w:eastAsia="zh-CN"/>
        </w:rPr>
        <w:t>汨罗</w:t>
      </w:r>
      <w:r>
        <w:rPr>
          <w:rFonts w:hint="eastAsia" w:ascii="仿宋_GB2312" w:hAnsi="仿宋_GB2312" w:eastAsia="仿宋_GB2312" w:cs="仿宋_GB2312"/>
          <w:sz w:val="32"/>
          <w:szCs w:val="32"/>
        </w:rPr>
        <w:t>市禁烧区耕地面积</w:t>
      </w:r>
      <w:r>
        <w:rPr>
          <w:rFonts w:hint="eastAsia" w:ascii="仿宋_GB2312" w:hAnsi="仿宋_GB2312" w:eastAsia="仿宋_GB2312" w:cs="仿宋_GB2312"/>
          <w:sz w:val="32"/>
          <w:szCs w:val="32"/>
          <w:lang w:val="en-US" w:eastAsia="zh-CN"/>
        </w:rPr>
        <w:t>61.35</w:t>
      </w:r>
      <w:r>
        <w:rPr>
          <w:rFonts w:hint="eastAsia" w:ascii="仿宋_GB2312" w:hAnsi="仿宋_GB2312" w:eastAsia="仿宋_GB2312" w:cs="仿宋_GB2312"/>
          <w:sz w:val="32"/>
          <w:szCs w:val="32"/>
        </w:rPr>
        <w:t>万亩，限烧区耕地面积</w:t>
      </w:r>
      <w:r>
        <w:rPr>
          <w:rFonts w:hint="eastAsia" w:ascii="仿宋_GB2312" w:hAnsi="仿宋_GB2312" w:eastAsia="仿宋_GB2312" w:cs="仿宋_GB2312"/>
          <w:sz w:val="32"/>
          <w:szCs w:val="32"/>
          <w:lang w:val="en-US" w:eastAsia="zh-CN"/>
        </w:rPr>
        <w:t>5.44</w:t>
      </w:r>
      <w:r>
        <w:rPr>
          <w:rFonts w:hint="eastAsia" w:ascii="仿宋_GB2312" w:hAnsi="仿宋_GB2312" w:eastAsia="仿宋_GB2312" w:cs="仿宋_GB2312"/>
          <w:sz w:val="32"/>
          <w:szCs w:val="32"/>
        </w:rPr>
        <w:t>万亩，全</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禁烧耕地面积比例为</w:t>
      </w:r>
      <w:r>
        <w:rPr>
          <w:rFonts w:hint="eastAsia" w:ascii="仿宋_GB2312" w:hAnsi="仿宋_GB2312" w:eastAsia="仿宋_GB2312" w:cs="仿宋_GB2312"/>
          <w:sz w:val="32"/>
          <w:szCs w:val="32"/>
          <w:lang w:val="en-US" w:eastAsia="zh-CN"/>
        </w:rPr>
        <w:t>91.85</w:t>
      </w:r>
      <w:r>
        <w:rPr>
          <w:rFonts w:hint="eastAsia" w:ascii="仿宋_GB2312" w:hAnsi="仿宋_GB2312" w:eastAsia="仿宋_GB2312" w:cs="仿宋_GB2312"/>
          <w:sz w:val="32"/>
          <w:szCs w:val="32"/>
        </w:rPr>
        <w:t>%。</w:t>
      </w:r>
    </w:p>
    <w:p w14:paraId="2CD81D6E">
      <w:pPr>
        <w:spacing w:line="6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秸秆禁烧区可根据环境空气质量、土地利用、耕地分布及秸秆综合利用变化情况进行适时调整。</w:t>
      </w:r>
    </w:p>
    <w:p w14:paraId="08345882">
      <w:pPr>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、具体划定方案</w:t>
      </w:r>
    </w:p>
    <w:p w14:paraId="1D5A5419">
      <w:pPr>
        <w:pStyle w:val="6"/>
        <w:ind w:firstLine="640"/>
        <w:rPr>
          <w:rFonts w:hint="default" w:eastAsia="仿宋_GB2312"/>
          <w:lang w:val="en-US" w:eastAsia="zh-CN"/>
        </w:rPr>
      </w:pPr>
      <w:r>
        <w:rPr>
          <w:rFonts w:hint="eastAsia"/>
        </w:rPr>
        <w:t>禁烧区涉及</w:t>
      </w:r>
      <w:r>
        <w:rPr>
          <w:rFonts w:hint="eastAsia"/>
          <w:lang w:val="en-US" w:eastAsia="zh-CN"/>
        </w:rPr>
        <w:t>15</w:t>
      </w:r>
      <w:r>
        <w:rPr>
          <w:rFonts w:hint="eastAsia"/>
        </w:rPr>
        <w:t>个乡镇（街道），其中辖区全部耕地划为禁烧区的乡镇（街道）</w:t>
      </w:r>
      <w:r>
        <w:rPr>
          <w:rFonts w:hint="eastAsia"/>
          <w:lang w:val="en-US" w:eastAsia="zh-CN"/>
        </w:rPr>
        <w:t>12</w:t>
      </w:r>
      <w:r>
        <w:rPr>
          <w:rFonts w:hint="eastAsia"/>
        </w:rPr>
        <w:t>个，分别为归义街道</w:t>
      </w:r>
      <w:r>
        <w:rPr>
          <w:rFonts w:hint="eastAsia"/>
          <w:lang w:eastAsia="zh-CN"/>
        </w:rPr>
        <w:t>、</w:t>
      </w:r>
      <w:r>
        <w:rPr>
          <w:rFonts w:hint="eastAsia"/>
        </w:rPr>
        <w:t>新市街道</w:t>
      </w:r>
      <w:r>
        <w:rPr>
          <w:rFonts w:hint="eastAsia"/>
          <w:lang w:eastAsia="zh-CN"/>
        </w:rPr>
        <w:t>、</w:t>
      </w:r>
      <w:r>
        <w:rPr>
          <w:rFonts w:hint="eastAsia"/>
        </w:rPr>
        <w:t>汨罗镇</w:t>
      </w:r>
      <w:r>
        <w:rPr>
          <w:rFonts w:hint="eastAsia"/>
          <w:lang w:eastAsia="zh-CN"/>
        </w:rPr>
        <w:t>、</w:t>
      </w:r>
      <w:r>
        <w:rPr>
          <w:rFonts w:hint="eastAsia"/>
        </w:rPr>
        <w:t>古培镇</w:t>
      </w:r>
      <w:r>
        <w:rPr>
          <w:rFonts w:hint="eastAsia"/>
          <w:lang w:eastAsia="zh-CN"/>
        </w:rPr>
        <w:t>、</w:t>
      </w:r>
      <w:r>
        <w:rPr>
          <w:rFonts w:hint="eastAsia"/>
        </w:rPr>
        <w:t>白水镇</w:t>
      </w:r>
      <w:r>
        <w:rPr>
          <w:rFonts w:hint="eastAsia"/>
          <w:lang w:eastAsia="zh-CN"/>
        </w:rPr>
        <w:t>、</w:t>
      </w:r>
      <w:r>
        <w:rPr>
          <w:rFonts w:hint="eastAsia"/>
        </w:rPr>
        <w:t>川山坪镇</w:t>
      </w:r>
      <w:r>
        <w:rPr>
          <w:rFonts w:hint="eastAsia"/>
          <w:lang w:eastAsia="zh-CN"/>
        </w:rPr>
        <w:t>、</w:t>
      </w:r>
      <w:r>
        <w:rPr>
          <w:rFonts w:hint="eastAsia"/>
        </w:rPr>
        <w:t>弼时镇</w:t>
      </w:r>
      <w:r>
        <w:rPr>
          <w:rFonts w:hint="eastAsia"/>
          <w:lang w:eastAsia="zh-CN"/>
        </w:rPr>
        <w:t>、</w:t>
      </w:r>
      <w:r>
        <w:rPr>
          <w:rFonts w:hint="eastAsia"/>
        </w:rPr>
        <w:t>长乐镇</w:t>
      </w:r>
      <w:r>
        <w:rPr>
          <w:rFonts w:hint="eastAsia"/>
          <w:lang w:eastAsia="zh-CN"/>
        </w:rPr>
        <w:t>、</w:t>
      </w:r>
      <w:r>
        <w:rPr>
          <w:rFonts w:hint="eastAsia"/>
        </w:rPr>
        <w:t>大荆镇</w:t>
      </w:r>
      <w:r>
        <w:rPr>
          <w:rFonts w:hint="eastAsia"/>
          <w:lang w:eastAsia="zh-CN"/>
        </w:rPr>
        <w:t>、</w:t>
      </w:r>
      <w:r>
        <w:rPr>
          <w:rFonts w:hint="eastAsia"/>
        </w:rPr>
        <w:t>屈子祠镇</w:t>
      </w:r>
      <w:r>
        <w:rPr>
          <w:rFonts w:hint="eastAsia"/>
          <w:lang w:eastAsia="zh-CN"/>
        </w:rPr>
        <w:t>、</w:t>
      </w:r>
      <w:r>
        <w:rPr>
          <w:rFonts w:hint="eastAsia"/>
        </w:rPr>
        <w:t>神鼎山镇</w:t>
      </w:r>
      <w:r>
        <w:rPr>
          <w:rFonts w:hint="eastAsia"/>
          <w:lang w:eastAsia="zh-CN"/>
        </w:rPr>
        <w:t>、</w:t>
      </w:r>
      <w:r>
        <w:rPr>
          <w:rFonts w:hint="eastAsia"/>
        </w:rPr>
        <w:t>罗江镇</w:t>
      </w:r>
      <w:r>
        <w:rPr>
          <w:rFonts w:hint="eastAsia"/>
          <w:lang w:eastAsia="zh-CN"/>
        </w:rPr>
        <w:t>；</w:t>
      </w:r>
      <w:r>
        <w:rPr>
          <w:rFonts w:hint="eastAsia"/>
          <w:lang w:val="en-US" w:eastAsia="zh-CN"/>
        </w:rPr>
        <w:t>部分禁烧区的乡镇3个，</w:t>
      </w:r>
      <w:r>
        <w:rPr>
          <w:rFonts w:hint="eastAsia"/>
        </w:rPr>
        <w:t>分别为桃林寺镇</w:t>
      </w:r>
      <w:r>
        <w:rPr>
          <w:rFonts w:hint="eastAsia"/>
          <w:lang w:eastAsia="zh-CN"/>
        </w:rPr>
        <w:t>、</w:t>
      </w:r>
      <w:r>
        <w:rPr>
          <w:rFonts w:hint="eastAsia"/>
        </w:rPr>
        <w:t>三江镇</w:t>
      </w:r>
      <w:r>
        <w:rPr>
          <w:rFonts w:hint="eastAsia"/>
          <w:lang w:eastAsia="zh-CN"/>
        </w:rPr>
        <w:t>、</w:t>
      </w:r>
      <w:r>
        <w:rPr>
          <w:rFonts w:hint="eastAsia"/>
        </w:rPr>
        <w:t>白塘镇</w:t>
      </w:r>
      <w:r>
        <w:rPr>
          <w:rFonts w:hint="eastAsia"/>
          <w:lang w:eastAsia="zh-CN"/>
        </w:rPr>
        <w:t>（</w:t>
      </w:r>
      <w:r>
        <w:rPr>
          <w:rFonts w:hint="eastAsia"/>
          <w:lang w:val="en-US" w:eastAsia="zh-CN"/>
        </w:rPr>
        <w:t>具体见附表1）</w:t>
      </w:r>
      <w:r>
        <w:rPr>
          <w:rFonts w:hint="eastAsia"/>
          <w:lang w:eastAsia="zh-CN"/>
        </w:rPr>
        <w:t>。</w:t>
      </w:r>
    </w:p>
    <w:p w14:paraId="74F8FB72">
      <w:pPr>
        <w:pStyle w:val="6"/>
        <w:ind w:firstLine="640"/>
        <w:rPr>
          <w:rFonts w:hint="eastAsia"/>
        </w:rPr>
      </w:pPr>
      <w:r>
        <w:rPr>
          <w:rFonts w:hint="eastAsia"/>
        </w:rPr>
        <w:t>禁烧区范围主要包括：</w:t>
      </w:r>
    </w:p>
    <w:p w14:paraId="71FF4965">
      <w:pPr>
        <w:pStyle w:val="6"/>
        <w:ind w:firstLine="640"/>
        <w:rPr>
          <w:rFonts w:hint="eastAsia" w:eastAsia="仿宋_GB2312"/>
          <w:lang w:eastAsia="zh-CN"/>
        </w:rPr>
      </w:pPr>
      <w:r>
        <w:rPr>
          <w:rFonts w:hint="eastAsia"/>
          <w:lang w:val="en-US" w:eastAsia="zh-CN"/>
        </w:rPr>
        <w:t>1、</w:t>
      </w:r>
      <w:r>
        <w:rPr>
          <w:rFonts w:hint="eastAsia"/>
        </w:rPr>
        <w:t>城区实体地域及外围</w:t>
      </w:r>
      <w:r>
        <w:rPr>
          <w:rFonts w:hint="eastAsia"/>
          <w:lang w:val="en-US" w:eastAsia="zh-CN"/>
        </w:rPr>
        <w:t>5</w:t>
      </w:r>
      <w:r>
        <w:rPr>
          <w:rFonts w:hint="eastAsia"/>
        </w:rPr>
        <w:t>公里范围内的耕地</w:t>
      </w:r>
      <w:r>
        <w:rPr>
          <w:rFonts w:hint="eastAsia"/>
          <w:lang w:eastAsia="zh-CN"/>
        </w:rPr>
        <w:t>。</w:t>
      </w:r>
    </w:p>
    <w:p w14:paraId="57013E70">
      <w:pPr>
        <w:pStyle w:val="6"/>
        <w:ind w:firstLine="640"/>
        <w:rPr>
          <w:rFonts w:hint="eastAsia" w:eastAsia="仿宋_GB2312"/>
          <w:lang w:eastAsia="zh-CN"/>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京广铁路、京广高速铁路</w:t>
      </w:r>
      <w:r>
        <w:rPr>
          <w:rFonts w:hint="eastAsia"/>
        </w:rPr>
        <w:t>共计</w:t>
      </w:r>
      <w:r>
        <w:rPr>
          <w:rFonts w:hint="eastAsia"/>
          <w:lang w:val="en-US" w:eastAsia="zh-CN"/>
        </w:rPr>
        <w:t>2</w:t>
      </w:r>
      <w:r>
        <w:rPr>
          <w:rFonts w:hint="eastAsia"/>
        </w:rPr>
        <w:t>条铁路沿线两侧</w:t>
      </w:r>
      <w:r>
        <w:rPr>
          <w:rFonts w:hint="eastAsia"/>
          <w:lang w:val="en-US" w:eastAsia="zh-CN"/>
        </w:rPr>
        <w:t>2</w:t>
      </w:r>
      <w:r>
        <w:t>公里范围内的耕地</w:t>
      </w:r>
      <w:r>
        <w:rPr>
          <w:rFonts w:hint="eastAsia"/>
          <w:lang w:eastAsia="zh-CN"/>
        </w:rPr>
        <w:t>。</w:t>
      </w:r>
    </w:p>
    <w:p w14:paraId="193460DC">
      <w:pPr>
        <w:pStyle w:val="6"/>
        <w:ind w:firstLine="640"/>
        <w:rPr>
          <w:rFonts w:hint="eastAsia" w:eastAsia="仿宋_GB2312"/>
          <w:lang w:eastAsia="zh-CN"/>
        </w:rPr>
      </w:pPr>
      <w:r>
        <w:rPr>
          <w:rFonts w:hint="eastAsia"/>
          <w:lang w:val="en-US" w:eastAsia="zh-CN"/>
        </w:rPr>
        <w:t>3、</w:t>
      </w:r>
      <w:r>
        <w:rPr>
          <w:rFonts w:hint="eastAsia"/>
        </w:rPr>
        <w:t>京港澳高速</w:t>
      </w:r>
      <w:r>
        <w:rPr>
          <w:rFonts w:hint="eastAsia"/>
          <w:lang w:val="en-US" w:eastAsia="zh-CN"/>
        </w:rPr>
        <w:t>公路</w:t>
      </w:r>
      <w:r>
        <w:rPr>
          <w:rFonts w:hint="eastAsia"/>
          <w:lang w:eastAsia="zh-CN"/>
        </w:rPr>
        <w:t>、</w:t>
      </w:r>
      <w:r>
        <w:rPr>
          <w:rFonts w:hint="eastAsia"/>
        </w:rPr>
        <w:t>许广高速</w:t>
      </w:r>
      <w:r>
        <w:rPr>
          <w:rFonts w:hint="eastAsia"/>
          <w:lang w:val="en-US" w:eastAsia="zh-CN"/>
        </w:rPr>
        <w:t>公路</w:t>
      </w:r>
      <w:r>
        <w:rPr>
          <w:rFonts w:hint="eastAsia"/>
          <w:lang w:eastAsia="zh-CN"/>
        </w:rPr>
        <w:t>、</w:t>
      </w:r>
      <w:r>
        <w:rPr>
          <w:rFonts w:hint="eastAsia"/>
        </w:rPr>
        <w:t>平洞高速</w:t>
      </w:r>
      <w:r>
        <w:rPr>
          <w:rFonts w:hint="eastAsia"/>
          <w:lang w:val="en-US" w:eastAsia="zh-CN"/>
        </w:rPr>
        <w:t>公路</w:t>
      </w:r>
      <w:r>
        <w:rPr>
          <w:rFonts w:hint="eastAsia"/>
        </w:rPr>
        <w:t>共计</w:t>
      </w:r>
      <w:r>
        <w:rPr>
          <w:rFonts w:hint="eastAsia"/>
          <w:lang w:val="en-US" w:eastAsia="zh-CN"/>
        </w:rPr>
        <w:t>3</w:t>
      </w:r>
      <w:r>
        <w:rPr>
          <w:rFonts w:hint="eastAsia"/>
        </w:rPr>
        <w:t>条高速公路沿线两侧</w:t>
      </w:r>
      <w:r>
        <w:rPr>
          <w:rFonts w:hint="eastAsia"/>
          <w:lang w:val="en-US" w:eastAsia="zh-CN"/>
        </w:rPr>
        <w:t>2</w:t>
      </w:r>
      <w:r>
        <w:t>公里范围内的耕地</w:t>
      </w:r>
      <w:r>
        <w:rPr>
          <w:rFonts w:hint="eastAsia"/>
          <w:lang w:eastAsia="zh-CN"/>
        </w:rPr>
        <w:t>。</w:t>
      </w:r>
    </w:p>
    <w:p w14:paraId="19119956">
      <w:pPr>
        <w:pStyle w:val="6"/>
        <w:ind w:firstLine="640"/>
        <w:rPr>
          <w:rFonts w:hint="eastAsia" w:eastAsia="仿宋_GB2312"/>
          <w:lang w:eastAsia="zh-CN"/>
        </w:rPr>
      </w:pPr>
      <w:r>
        <w:rPr>
          <w:rFonts w:hint="eastAsia"/>
          <w:lang w:val="en-US" w:eastAsia="zh-CN"/>
        </w:rPr>
        <w:t>4、G107</w:t>
      </w:r>
      <w:r>
        <w:rPr>
          <w:rFonts w:hint="eastAsia"/>
        </w:rPr>
        <w:t>国道、</w:t>
      </w:r>
      <w:r>
        <w:rPr>
          <w:rFonts w:hint="eastAsia"/>
          <w:lang w:val="en-US" w:eastAsia="zh-CN"/>
        </w:rPr>
        <w:t>G240</w:t>
      </w:r>
      <w:r>
        <w:rPr>
          <w:rFonts w:hint="eastAsia"/>
        </w:rPr>
        <w:t>国道、</w:t>
      </w:r>
      <w:r>
        <w:rPr>
          <w:rFonts w:hint="eastAsia"/>
          <w:lang w:val="en-US" w:eastAsia="zh-CN"/>
        </w:rPr>
        <w:t>G536国</w:t>
      </w:r>
      <w:r>
        <w:rPr>
          <w:rFonts w:hint="eastAsia"/>
        </w:rPr>
        <w:t>道、</w:t>
      </w:r>
      <w:r>
        <w:rPr>
          <w:rFonts w:hint="eastAsia"/>
          <w:lang w:val="en-US" w:eastAsia="zh-CN"/>
        </w:rPr>
        <w:t>S308</w:t>
      </w:r>
      <w:r>
        <w:rPr>
          <w:rFonts w:hint="eastAsia"/>
        </w:rPr>
        <w:t>省道</w:t>
      </w:r>
      <w:r>
        <w:rPr>
          <w:rFonts w:hint="eastAsia"/>
          <w:lang w:eastAsia="zh-CN"/>
        </w:rPr>
        <w:t>、</w:t>
      </w:r>
      <w:r>
        <w:rPr>
          <w:rFonts w:hint="eastAsia"/>
          <w:lang w:val="en-US" w:eastAsia="zh-CN"/>
        </w:rPr>
        <w:t>S210省道等</w:t>
      </w:r>
      <w:r>
        <w:rPr>
          <w:rFonts w:hint="eastAsia"/>
        </w:rPr>
        <w:t>共计</w:t>
      </w:r>
      <w:r>
        <w:rPr>
          <w:rFonts w:hint="eastAsia"/>
          <w:lang w:val="en-US" w:eastAsia="zh-CN"/>
        </w:rPr>
        <w:t>5</w:t>
      </w:r>
      <w:r>
        <w:rPr>
          <w:rFonts w:hint="eastAsia"/>
        </w:rPr>
        <w:t>条国（省）公路干线沿线两侧</w:t>
      </w:r>
      <w:r>
        <w:rPr>
          <w:rFonts w:hint="eastAsia"/>
          <w:lang w:val="en-US" w:eastAsia="zh-CN"/>
        </w:rPr>
        <w:t>1</w:t>
      </w:r>
      <w:r>
        <w:t>公里范围内的耕地</w:t>
      </w:r>
      <w:r>
        <w:rPr>
          <w:rFonts w:hint="eastAsia"/>
          <w:lang w:eastAsia="zh-CN"/>
        </w:rPr>
        <w:t>。</w:t>
      </w:r>
    </w:p>
    <w:p w14:paraId="665E4181">
      <w:pPr>
        <w:pStyle w:val="6"/>
        <w:ind w:firstLine="640"/>
        <w:rPr>
          <w:rFonts w:hint="eastAsia" w:ascii="仿宋_GB2312" w:hAnsi="仿宋_GB2312" w:eastAsia="仿宋_GB2312" w:cs="仿宋_GB2312"/>
          <w:sz w:val="32"/>
          <w:szCs w:val="32"/>
          <w:lang w:val="en-US" w:eastAsia="zh-CN"/>
        </w:rPr>
      </w:pPr>
      <w:r>
        <w:rPr>
          <w:rFonts w:hint="eastAsia"/>
          <w:lang w:val="en-US" w:eastAsia="zh-CN"/>
        </w:rPr>
        <w:t>5、</w:t>
      </w:r>
      <w:r>
        <w:rPr>
          <w:rFonts w:hint="eastAsia"/>
        </w:rPr>
        <w:t>除上述范围涉及的乡镇（街道）外，综合考虑耕地状况、焚烧实际和综合利用条件等，将归义街道</w:t>
      </w:r>
      <w:r>
        <w:rPr>
          <w:rFonts w:hint="eastAsia"/>
          <w:lang w:eastAsia="zh-CN"/>
        </w:rPr>
        <w:t>、</w:t>
      </w:r>
      <w:r>
        <w:rPr>
          <w:rFonts w:hint="eastAsia"/>
        </w:rPr>
        <w:t>新市街道</w:t>
      </w:r>
      <w:r>
        <w:rPr>
          <w:rFonts w:hint="eastAsia"/>
          <w:lang w:eastAsia="zh-CN"/>
        </w:rPr>
        <w:t>、</w:t>
      </w:r>
      <w:r>
        <w:rPr>
          <w:rFonts w:hint="eastAsia"/>
        </w:rPr>
        <w:t>汨罗镇</w:t>
      </w:r>
      <w:r>
        <w:rPr>
          <w:rFonts w:hint="eastAsia"/>
          <w:lang w:eastAsia="zh-CN"/>
        </w:rPr>
        <w:t>、</w:t>
      </w:r>
      <w:r>
        <w:rPr>
          <w:rFonts w:hint="eastAsia"/>
        </w:rPr>
        <w:t>古培镇</w:t>
      </w:r>
      <w:r>
        <w:rPr>
          <w:rFonts w:hint="eastAsia"/>
          <w:lang w:eastAsia="zh-CN"/>
        </w:rPr>
        <w:t>、</w:t>
      </w:r>
      <w:r>
        <w:rPr>
          <w:rFonts w:hint="eastAsia"/>
        </w:rPr>
        <w:t>白水镇</w:t>
      </w:r>
      <w:r>
        <w:rPr>
          <w:rFonts w:hint="eastAsia"/>
          <w:lang w:eastAsia="zh-CN"/>
        </w:rPr>
        <w:t>、</w:t>
      </w:r>
      <w:r>
        <w:rPr>
          <w:rFonts w:hint="eastAsia"/>
        </w:rPr>
        <w:t>川山坪镇</w:t>
      </w:r>
      <w:r>
        <w:rPr>
          <w:rFonts w:hint="eastAsia"/>
          <w:lang w:eastAsia="zh-CN"/>
        </w:rPr>
        <w:t>、</w:t>
      </w:r>
      <w:r>
        <w:rPr>
          <w:rFonts w:hint="eastAsia"/>
        </w:rPr>
        <w:t>弼时镇</w:t>
      </w:r>
      <w:r>
        <w:rPr>
          <w:rFonts w:hint="eastAsia"/>
          <w:lang w:eastAsia="zh-CN"/>
        </w:rPr>
        <w:t>、</w:t>
      </w:r>
      <w:r>
        <w:rPr>
          <w:rFonts w:hint="eastAsia"/>
        </w:rPr>
        <w:t>长乐镇</w:t>
      </w:r>
      <w:r>
        <w:rPr>
          <w:rFonts w:hint="eastAsia"/>
          <w:lang w:eastAsia="zh-CN"/>
        </w:rPr>
        <w:t>、</w:t>
      </w:r>
      <w:r>
        <w:rPr>
          <w:rFonts w:hint="eastAsia"/>
        </w:rPr>
        <w:t>大荆镇</w:t>
      </w:r>
      <w:r>
        <w:rPr>
          <w:rFonts w:hint="eastAsia"/>
          <w:lang w:eastAsia="zh-CN"/>
        </w:rPr>
        <w:t>、</w:t>
      </w:r>
      <w:r>
        <w:rPr>
          <w:rFonts w:hint="eastAsia"/>
        </w:rPr>
        <w:t>屈子祠镇</w:t>
      </w:r>
      <w:r>
        <w:rPr>
          <w:rFonts w:hint="eastAsia"/>
          <w:lang w:eastAsia="zh-CN"/>
        </w:rPr>
        <w:t>、</w:t>
      </w:r>
      <w:r>
        <w:rPr>
          <w:rFonts w:hint="eastAsia"/>
        </w:rPr>
        <w:t>神鼎山镇</w:t>
      </w:r>
      <w:r>
        <w:rPr>
          <w:rFonts w:hint="eastAsia"/>
          <w:lang w:eastAsia="zh-CN"/>
        </w:rPr>
        <w:t>、</w:t>
      </w:r>
      <w:r>
        <w:rPr>
          <w:rFonts w:hint="eastAsia"/>
        </w:rPr>
        <w:t>罗江镇区域内的</w:t>
      </w:r>
      <w:r>
        <w:rPr>
          <w:rFonts w:hint="eastAsia"/>
          <w:lang w:val="en-US" w:eastAsia="zh-CN"/>
        </w:rPr>
        <w:t>全部</w:t>
      </w:r>
      <w:r>
        <w:rPr>
          <w:rFonts w:hint="eastAsia"/>
        </w:rPr>
        <w:t>耕地划为禁烧区</w:t>
      </w:r>
      <w:r>
        <w:rPr>
          <w:rFonts w:hint="eastAsia"/>
          <w:lang w:eastAsia="zh-CN"/>
        </w:rPr>
        <w:t>，</w:t>
      </w:r>
      <w:r>
        <w:rPr>
          <w:rFonts w:hint="eastAsia"/>
        </w:rPr>
        <w:t>桃林寺镇</w:t>
      </w:r>
      <w:r>
        <w:rPr>
          <w:rFonts w:hint="eastAsia"/>
          <w:lang w:eastAsia="zh-CN"/>
        </w:rPr>
        <w:t>、</w:t>
      </w:r>
      <w:r>
        <w:rPr>
          <w:rFonts w:hint="eastAsia"/>
        </w:rPr>
        <w:t>三江镇</w:t>
      </w:r>
      <w:r>
        <w:rPr>
          <w:rFonts w:hint="eastAsia"/>
          <w:lang w:eastAsia="zh-CN"/>
        </w:rPr>
        <w:t>、</w:t>
      </w:r>
      <w:r>
        <w:rPr>
          <w:rFonts w:hint="eastAsia"/>
        </w:rPr>
        <w:t>白塘镇区域内的部分耕地划为禁烧区</w:t>
      </w:r>
      <w:r>
        <w:rPr>
          <w:rFonts w:hint="eastAsia"/>
          <w:lang w:eastAsia="zh-CN"/>
        </w:rPr>
        <w:t>（</w:t>
      </w:r>
      <w:r>
        <w:rPr>
          <w:rFonts w:hint="eastAsia" w:ascii="仿宋_GB2312" w:hAnsi="仿宋_GB2312" w:eastAsia="仿宋_GB2312" w:cs="仿宋_GB2312"/>
          <w:sz w:val="32"/>
          <w:szCs w:val="32"/>
          <w:lang w:val="en-US" w:eastAsia="zh-CN"/>
        </w:rPr>
        <w:t>具体见附表2</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w:t>
      </w:r>
    </w:p>
    <w:p w14:paraId="18536419">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、管控要求</w:t>
      </w:r>
    </w:p>
    <w:p w14:paraId="571ADA21">
      <w:pPr>
        <w:spacing w:line="580" w:lineRule="exact"/>
        <w:ind w:firstLine="640" w:firstLineChars="20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（一）禁烧区</w:t>
      </w:r>
    </w:p>
    <w:p w14:paraId="210AFFEF">
      <w:pPr>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秸秆禁烧区内实行强制性、常态化禁烧管理政策，任何时间、任何气象条件及空气质量状况下，均不允许露天焚烧秸秆。对经检疫确需通过焚烧处理病虫害的秸秆，在农业农村、生态环境主管部门采取安全可控措施后，可以露天焚烧。</w:t>
      </w:r>
    </w:p>
    <w:p w14:paraId="748F68EF">
      <w:pPr>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2.秸秆禁烧区要设立明显警示标志，标明“秸秆禁烧区”字样。</w:t>
      </w:r>
    </w:p>
    <w:p w14:paraId="5D0D3B55">
      <w:pPr>
        <w:spacing w:line="580" w:lineRule="exact"/>
        <w:ind w:firstLine="640" w:firstLineChars="20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（二）限烧区</w:t>
      </w:r>
    </w:p>
    <w:p w14:paraId="2DF38680">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限烧区内，乡镇（街道）应当组织以村为单位开展分区域、分时段有序错峰焚烧，并加强指导、巡查和管控，防止发生大气污染事故和火灾。出现下列情形之一的，应当禁止秸秆露天焚烧</w:t>
      </w:r>
      <w:r>
        <w:rPr>
          <w:rFonts w:hint="eastAsia" w:ascii="仿宋_GB2312" w:hAnsi="仿宋_GB2312" w:eastAsia="仿宋_GB2312" w:cs="仿宋_GB2312"/>
          <w:color w:val="auto"/>
          <w:sz w:val="32"/>
          <w:szCs w:val="32"/>
          <w:lang w:eastAsia="zh-CN"/>
        </w:rPr>
        <w:t>：</w:t>
      </w:r>
    </w:p>
    <w:p w14:paraId="76E94F23">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限烧区及下游区域相关城市实测已达轻度及以上污染天气</w:t>
      </w:r>
      <w:r>
        <w:rPr>
          <w:rFonts w:hint="eastAsia" w:ascii="仿宋_GB2312" w:hAnsi="仿宋_GB2312" w:eastAsia="仿宋_GB2312" w:cs="仿宋_GB2312"/>
          <w:color w:val="auto"/>
          <w:sz w:val="32"/>
          <w:szCs w:val="32"/>
          <w:lang w:eastAsia="zh-CN"/>
        </w:rPr>
        <w:t>。</w:t>
      </w:r>
    </w:p>
    <w:p w14:paraId="0A29501E">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预测限烧区内相关城市未来48小时将出现中度及以上污染天气或发布重污染天气预警</w:t>
      </w:r>
      <w:r>
        <w:rPr>
          <w:rFonts w:hint="eastAsia" w:ascii="仿宋_GB2312" w:hAnsi="仿宋_GB2312" w:eastAsia="仿宋_GB2312" w:cs="仿宋_GB2312"/>
          <w:color w:val="auto"/>
          <w:sz w:val="32"/>
          <w:szCs w:val="32"/>
          <w:lang w:eastAsia="zh-CN"/>
        </w:rPr>
        <w:t>。</w:t>
      </w:r>
    </w:p>
    <w:p w14:paraId="134C0360">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限烧区内19:00至次日7:00的夜间时段</w:t>
      </w:r>
      <w:r>
        <w:rPr>
          <w:rFonts w:hint="eastAsia" w:ascii="仿宋_GB2312" w:hAnsi="仿宋_GB2312" w:eastAsia="仿宋_GB2312" w:cs="仿宋_GB2312"/>
          <w:color w:val="auto"/>
          <w:sz w:val="32"/>
          <w:szCs w:val="32"/>
          <w:lang w:eastAsia="zh-CN"/>
        </w:rPr>
        <w:t>。</w:t>
      </w:r>
    </w:p>
    <w:p w14:paraId="497BEB33">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限烧区内出现小风（小于2级）、静稳等不利于大气扩散的天气</w:t>
      </w:r>
      <w:r>
        <w:rPr>
          <w:rFonts w:hint="eastAsia" w:ascii="仿宋_GB2312" w:hAnsi="仿宋_GB2312" w:eastAsia="仿宋_GB2312" w:cs="仿宋_GB2312"/>
          <w:color w:val="auto"/>
          <w:sz w:val="32"/>
          <w:szCs w:val="32"/>
          <w:lang w:eastAsia="zh-CN"/>
        </w:rPr>
        <w:t>。</w:t>
      </w:r>
    </w:p>
    <w:p w14:paraId="24EC66FC">
      <w:pPr>
        <w:spacing w:line="62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w:t>
      </w:r>
      <w:bookmarkStart w:id="1" w:name="_GoBack"/>
      <w:bookmarkEnd w:id="1"/>
      <w:r>
        <w:rPr>
          <w:rFonts w:hint="eastAsia" w:ascii="仿宋_GB2312" w:hAnsi="仿宋_GB2312" w:eastAsia="仿宋_GB2312" w:cs="仿宋_GB2312"/>
          <w:color w:val="auto"/>
          <w:sz w:val="32"/>
          <w:szCs w:val="32"/>
        </w:rPr>
        <w:t>法律法规以及规范性文件规定的其他禁止露天焚烧秸秆的情形。</w:t>
      </w:r>
    </w:p>
    <w:p w14:paraId="61949C00">
      <w:pPr>
        <w:spacing w:line="620" w:lineRule="exact"/>
        <w:ind w:firstLine="640" w:firstLineChars="200"/>
        <w:rPr>
          <w:rFonts w:hint="eastAsia" w:ascii="仿宋_GB2312" w:hAnsi="仿宋_GB2312" w:eastAsia="仿宋_GB2312" w:cs="仿宋_GB2312"/>
          <w:sz w:val="32"/>
          <w:szCs w:val="32"/>
          <w:lang w:val="en-US" w:eastAsia="zh-CN"/>
        </w:rPr>
      </w:pPr>
    </w:p>
    <w:p w14:paraId="75FE733E">
      <w:pPr>
        <w:spacing w:line="620" w:lineRule="exact"/>
        <w:ind w:firstLine="640" w:firstLineChars="200"/>
        <w:rPr>
          <w:rFonts w:hint="eastAsia" w:ascii="仿宋_GB2312" w:hAnsi="仿宋_GB2312" w:eastAsia="仿宋_GB2312" w:cs="仿宋_GB2312"/>
          <w:sz w:val="32"/>
          <w:szCs w:val="32"/>
          <w:lang w:val="en-US" w:eastAsia="zh-CN"/>
        </w:rPr>
      </w:pPr>
    </w:p>
    <w:p w14:paraId="6A6A7831">
      <w:pPr>
        <w:spacing w:line="620" w:lineRule="exact"/>
        <w:ind w:firstLine="640" w:firstLineChars="200"/>
        <w:rPr>
          <w:rFonts w:hint="eastAsia" w:ascii="仿宋_GB2312" w:hAnsi="仿宋_GB2312" w:eastAsia="仿宋_GB2312" w:cs="仿宋_GB2312"/>
          <w:sz w:val="32"/>
          <w:szCs w:val="32"/>
          <w:lang w:val="en-US" w:eastAsia="zh-CN"/>
        </w:rPr>
      </w:pPr>
    </w:p>
    <w:p w14:paraId="2AA57AEC"/>
    <w:p w14:paraId="64F84B5D">
      <w:pPr>
        <w:sectPr>
          <w:pgSz w:w="11906" w:h="16838"/>
          <w:pgMar w:top="1440" w:right="1800" w:bottom="1440" w:left="1800" w:header="851" w:footer="992" w:gutter="0"/>
          <w:cols w:space="425" w:num="1"/>
          <w:docGrid w:type="lines" w:linePitch="312" w:charSpace="0"/>
        </w:sectPr>
      </w:pPr>
    </w:p>
    <w:p w14:paraId="594B5156">
      <w:pPr>
        <w:spacing w:line="580" w:lineRule="exac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附表1</w:t>
      </w:r>
    </w:p>
    <w:p w14:paraId="7ED86264">
      <w:pPr>
        <w:spacing w:line="580" w:lineRule="exact"/>
        <w:ind w:left="0" w:leftChars="0" w:firstLine="0" w:firstLineChars="0"/>
        <w:jc w:val="center"/>
        <w:rPr>
          <w:rFonts w:hint="eastAsia" w:ascii="仿宋" w:hAnsi="仿宋" w:eastAsia="仿宋" w:cs="仿宋"/>
          <w:b/>
          <w:bCs/>
          <w:color w:val="000000"/>
          <w:kern w:val="0"/>
          <w:sz w:val="40"/>
          <w:szCs w:val="40"/>
          <w:lang w:val="en-US" w:eastAsia="zh-CN" w:bidi="ar"/>
        </w:rPr>
      </w:pPr>
      <w:r>
        <w:rPr>
          <w:rFonts w:hint="eastAsia" w:ascii="仿宋" w:hAnsi="仿宋" w:eastAsia="仿宋" w:cs="仿宋"/>
          <w:b/>
          <w:bCs/>
          <w:color w:val="000000"/>
          <w:kern w:val="0"/>
          <w:sz w:val="40"/>
          <w:szCs w:val="40"/>
          <w:lang w:val="en-US" w:eastAsia="zh-CN" w:bidi="ar"/>
        </w:rPr>
        <w:t>汨罗市秸秆禁烧区、限烧区统计表</w:t>
      </w:r>
    </w:p>
    <w:tbl>
      <w:tblPr>
        <w:tblStyle w:val="4"/>
        <w:tblW w:w="52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1292"/>
        <w:gridCol w:w="1681"/>
        <w:gridCol w:w="2574"/>
        <w:gridCol w:w="1818"/>
        <w:gridCol w:w="1658"/>
        <w:gridCol w:w="1658"/>
        <w:gridCol w:w="1806"/>
        <w:gridCol w:w="1655"/>
      </w:tblGrid>
      <w:tr w14:paraId="3B3F4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68" w:type="pct"/>
            <w:vAlign w:val="center"/>
          </w:tcPr>
          <w:p w14:paraId="57B465AF">
            <w:pPr>
              <w:adjustRightInd w:val="0"/>
              <w:snapToGrid w:val="0"/>
              <w:jc w:val="center"/>
              <w:rPr>
                <w:rFonts w:hint="eastAsia" w:ascii="仿宋" w:hAnsi="仿宋" w:eastAsia="仿宋" w:cs="仿宋"/>
                <w:b/>
                <w:bCs/>
                <w:sz w:val="22"/>
                <w:szCs w:val="22"/>
              </w:rPr>
            </w:pPr>
            <w:r>
              <w:rPr>
                <w:rFonts w:hint="eastAsia" w:ascii="仿宋" w:hAnsi="仿宋" w:eastAsia="仿宋" w:cs="仿宋"/>
                <w:b/>
                <w:bCs/>
                <w:sz w:val="22"/>
                <w:szCs w:val="22"/>
              </w:rPr>
              <w:t>序号</w:t>
            </w:r>
          </w:p>
        </w:tc>
        <w:tc>
          <w:tcPr>
            <w:tcW w:w="432" w:type="pct"/>
            <w:vAlign w:val="center"/>
          </w:tcPr>
          <w:p w14:paraId="1B47BF61">
            <w:pPr>
              <w:adjustRightInd w:val="0"/>
              <w:snapToGrid w:val="0"/>
              <w:jc w:val="center"/>
              <w:rPr>
                <w:rFonts w:hint="eastAsia" w:ascii="仿宋" w:hAnsi="仿宋" w:eastAsia="仿宋" w:cs="仿宋"/>
                <w:b/>
                <w:bCs/>
                <w:sz w:val="22"/>
                <w:szCs w:val="22"/>
              </w:rPr>
            </w:pPr>
            <w:r>
              <w:rPr>
                <w:rFonts w:hint="eastAsia" w:ascii="仿宋" w:hAnsi="仿宋" w:eastAsia="仿宋" w:cs="仿宋"/>
                <w:b/>
                <w:bCs/>
                <w:sz w:val="22"/>
                <w:szCs w:val="22"/>
              </w:rPr>
              <w:t>县（市区）</w:t>
            </w:r>
          </w:p>
        </w:tc>
        <w:tc>
          <w:tcPr>
            <w:tcW w:w="562" w:type="pct"/>
            <w:vAlign w:val="center"/>
          </w:tcPr>
          <w:p w14:paraId="73971F71">
            <w:pPr>
              <w:adjustRightInd w:val="0"/>
              <w:snapToGrid w:val="0"/>
              <w:jc w:val="center"/>
              <w:rPr>
                <w:rFonts w:hint="eastAsia" w:ascii="仿宋" w:hAnsi="仿宋" w:eastAsia="仿宋" w:cs="仿宋"/>
                <w:b/>
                <w:bCs/>
                <w:sz w:val="22"/>
                <w:szCs w:val="22"/>
              </w:rPr>
            </w:pPr>
            <w:r>
              <w:rPr>
                <w:rFonts w:hint="eastAsia" w:ascii="仿宋" w:hAnsi="仿宋" w:eastAsia="仿宋" w:cs="仿宋"/>
                <w:b/>
                <w:bCs/>
                <w:sz w:val="22"/>
                <w:szCs w:val="22"/>
              </w:rPr>
              <w:t>行政区面积（平方公里）</w:t>
            </w:r>
          </w:p>
        </w:tc>
        <w:tc>
          <w:tcPr>
            <w:tcW w:w="861" w:type="pct"/>
            <w:vAlign w:val="center"/>
          </w:tcPr>
          <w:p w14:paraId="68846617">
            <w:pPr>
              <w:adjustRightInd w:val="0"/>
              <w:snapToGrid w:val="0"/>
              <w:jc w:val="center"/>
              <w:rPr>
                <w:rFonts w:hint="eastAsia" w:ascii="仿宋" w:hAnsi="仿宋" w:eastAsia="仿宋" w:cs="仿宋"/>
                <w:b/>
                <w:bCs/>
                <w:sz w:val="22"/>
                <w:szCs w:val="22"/>
              </w:rPr>
            </w:pPr>
            <w:r>
              <w:rPr>
                <w:rFonts w:hint="eastAsia" w:ascii="仿宋" w:hAnsi="仿宋" w:eastAsia="仿宋" w:cs="仿宋"/>
                <w:b/>
                <w:bCs/>
                <w:sz w:val="22"/>
                <w:szCs w:val="22"/>
              </w:rPr>
              <w:t>全域禁烧乡镇（街道）</w:t>
            </w:r>
          </w:p>
        </w:tc>
        <w:tc>
          <w:tcPr>
            <w:tcW w:w="608" w:type="pct"/>
            <w:vAlign w:val="center"/>
          </w:tcPr>
          <w:p w14:paraId="66964F0D">
            <w:pPr>
              <w:adjustRightInd w:val="0"/>
              <w:snapToGrid w:val="0"/>
              <w:jc w:val="center"/>
              <w:rPr>
                <w:rFonts w:hint="eastAsia" w:ascii="仿宋" w:hAnsi="仿宋" w:eastAsia="仿宋" w:cs="仿宋"/>
                <w:b/>
                <w:bCs/>
                <w:sz w:val="22"/>
                <w:szCs w:val="22"/>
              </w:rPr>
            </w:pPr>
            <w:r>
              <w:rPr>
                <w:rFonts w:hint="eastAsia" w:ascii="仿宋" w:hAnsi="仿宋" w:eastAsia="仿宋" w:cs="仿宋"/>
                <w:b/>
                <w:bCs/>
                <w:sz w:val="22"/>
                <w:szCs w:val="22"/>
              </w:rPr>
              <w:t>部分禁烧乡镇（街道）</w:t>
            </w:r>
          </w:p>
        </w:tc>
        <w:tc>
          <w:tcPr>
            <w:tcW w:w="554" w:type="pct"/>
            <w:vAlign w:val="center"/>
          </w:tcPr>
          <w:p w14:paraId="7900D438">
            <w:pPr>
              <w:adjustRightInd w:val="0"/>
              <w:snapToGrid w:val="0"/>
              <w:jc w:val="center"/>
              <w:rPr>
                <w:rFonts w:hint="eastAsia" w:ascii="仿宋" w:hAnsi="仿宋" w:eastAsia="仿宋" w:cs="仿宋"/>
                <w:b/>
                <w:bCs/>
                <w:sz w:val="22"/>
                <w:szCs w:val="22"/>
              </w:rPr>
            </w:pPr>
            <w:r>
              <w:rPr>
                <w:rFonts w:hint="eastAsia" w:ascii="仿宋" w:hAnsi="仿宋" w:eastAsia="仿宋" w:cs="仿宋"/>
                <w:b/>
                <w:bCs/>
                <w:sz w:val="22"/>
                <w:szCs w:val="22"/>
              </w:rPr>
              <w:t>全域限烧乡镇（街道）</w:t>
            </w:r>
          </w:p>
        </w:tc>
        <w:tc>
          <w:tcPr>
            <w:tcW w:w="554" w:type="pct"/>
            <w:shd w:val="clear" w:color="auto" w:fill="auto"/>
            <w:vAlign w:val="center"/>
          </w:tcPr>
          <w:p w14:paraId="77126AFE">
            <w:pPr>
              <w:adjustRightInd w:val="0"/>
              <w:snapToGrid w:val="0"/>
              <w:jc w:val="center"/>
              <w:rPr>
                <w:rFonts w:hint="eastAsia" w:ascii="仿宋" w:hAnsi="仿宋" w:eastAsia="仿宋" w:cs="仿宋"/>
                <w:b/>
                <w:bCs/>
                <w:sz w:val="22"/>
                <w:szCs w:val="22"/>
              </w:rPr>
            </w:pPr>
            <w:r>
              <w:rPr>
                <w:rFonts w:hint="eastAsia" w:ascii="仿宋" w:hAnsi="仿宋" w:eastAsia="仿宋" w:cs="仿宋"/>
                <w:b/>
                <w:bCs/>
                <w:sz w:val="22"/>
                <w:szCs w:val="22"/>
              </w:rPr>
              <w:t>禁烧区耕地面积（万亩）</w:t>
            </w:r>
          </w:p>
        </w:tc>
        <w:tc>
          <w:tcPr>
            <w:tcW w:w="604" w:type="pct"/>
            <w:shd w:val="clear" w:color="auto" w:fill="auto"/>
            <w:vAlign w:val="center"/>
          </w:tcPr>
          <w:p w14:paraId="12EB084F">
            <w:pPr>
              <w:adjustRightInd w:val="0"/>
              <w:snapToGrid w:val="0"/>
              <w:jc w:val="center"/>
              <w:rPr>
                <w:rFonts w:hint="eastAsia" w:ascii="仿宋" w:hAnsi="仿宋" w:eastAsia="仿宋" w:cs="仿宋"/>
                <w:b/>
                <w:bCs/>
                <w:sz w:val="22"/>
                <w:szCs w:val="22"/>
              </w:rPr>
            </w:pPr>
            <w:r>
              <w:rPr>
                <w:rFonts w:hint="eastAsia" w:ascii="仿宋" w:hAnsi="仿宋" w:eastAsia="仿宋" w:cs="仿宋"/>
                <w:b/>
                <w:bCs/>
                <w:sz w:val="22"/>
                <w:szCs w:val="22"/>
              </w:rPr>
              <w:t>限烧区耕地面积（万亩）</w:t>
            </w:r>
          </w:p>
        </w:tc>
        <w:tc>
          <w:tcPr>
            <w:tcW w:w="553" w:type="pct"/>
            <w:shd w:val="clear" w:color="auto" w:fill="auto"/>
            <w:vAlign w:val="center"/>
          </w:tcPr>
          <w:p w14:paraId="40E55E46">
            <w:pPr>
              <w:adjustRightInd w:val="0"/>
              <w:snapToGrid w:val="0"/>
              <w:jc w:val="center"/>
              <w:rPr>
                <w:rFonts w:hint="eastAsia" w:ascii="仿宋" w:hAnsi="仿宋" w:eastAsia="仿宋" w:cs="仿宋"/>
                <w:b/>
                <w:bCs/>
                <w:sz w:val="22"/>
                <w:szCs w:val="22"/>
              </w:rPr>
            </w:pPr>
            <w:r>
              <w:rPr>
                <w:rFonts w:hint="eastAsia" w:ascii="仿宋" w:hAnsi="仿宋" w:eastAsia="仿宋" w:cs="仿宋"/>
                <w:b/>
                <w:bCs/>
                <w:sz w:val="22"/>
                <w:szCs w:val="22"/>
              </w:rPr>
              <w:t>禁烧耕地面积比例（%）</w:t>
            </w:r>
          </w:p>
        </w:tc>
      </w:tr>
      <w:tr w14:paraId="57F8F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jc w:val="center"/>
        </w:trPr>
        <w:tc>
          <w:tcPr>
            <w:tcW w:w="268" w:type="pct"/>
            <w:vAlign w:val="center"/>
          </w:tcPr>
          <w:p w14:paraId="17FF8100">
            <w:pPr>
              <w:adjustRightInd w:val="0"/>
              <w:snapToGrid w:val="0"/>
              <w:jc w:val="center"/>
              <w:rPr>
                <w:rFonts w:hint="eastAsia" w:ascii="仿宋" w:hAnsi="仿宋" w:eastAsia="仿宋" w:cs="仿宋"/>
                <w:sz w:val="22"/>
                <w:szCs w:val="22"/>
              </w:rPr>
            </w:pPr>
            <w:r>
              <w:rPr>
                <w:rFonts w:hint="eastAsia" w:ascii="仿宋" w:hAnsi="仿宋" w:eastAsia="仿宋" w:cs="仿宋"/>
                <w:sz w:val="22"/>
                <w:szCs w:val="22"/>
              </w:rPr>
              <w:t>1</w:t>
            </w:r>
          </w:p>
        </w:tc>
        <w:tc>
          <w:tcPr>
            <w:tcW w:w="432" w:type="pct"/>
            <w:vAlign w:val="center"/>
          </w:tcPr>
          <w:p w14:paraId="33BCFF20">
            <w:pPr>
              <w:widowControl/>
              <w:jc w:val="center"/>
              <w:textAlignment w:val="center"/>
              <w:rPr>
                <w:rFonts w:hint="eastAsia" w:ascii="仿宋" w:hAnsi="仿宋" w:eastAsia="仿宋" w:cs="仿宋"/>
                <w:kern w:val="2"/>
                <w:sz w:val="22"/>
                <w:szCs w:val="22"/>
                <w:lang w:val="en-US" w:eastAsia="zh-CN" w:bidi="ar-SA"/>
              </w:rPr>
            </w:pPr>
            <w:r>
              <w:rPr>
                <w:rFonts w:hint="eastAsia" w:ascii="仿宋" w:hAnsi="仿宋" w:eastAsia="仿宋" w:cs="仿宋"/>
                <w:kern w:val="2"/>
                <w:sz w:val="22"/>
                <w:szCs w:val="22"/>
                <w:lang w:val="en-US" w:eastAsia="zh-CN" w:bidi="ar-SA"/>
              </w:rPr>
              <w:t>汨罗市</w:t>
            </w:r>
          </w:p>
        </w:tc>
        <w:tc>
          <w:tcPr>
            <w:tcW w:w="1681" w:type="dxa"/>
            <w:vAlign w:val="center"/>
          </w:tcPr>
          <w:p w14:paraId="2ADE9D94">
            <w:pPr>
              <w:widowControl/>
              <w:jc w:val="center"/>
              <w:textAlignment w:val="center"/>
              <w:rPr>
                <w:rFonts w:hint="default" w:ascii="仿宋" w:hAnsi="仿宋" w:eastAsia="仿宋" w:cs="仿宋"/>
                <w:kern w:val="2"/>
                <w:sz w:val="22"/>
                <w:szCs w:val="22"/>
                <w:lang w:val="en-US" w:eastAsia="zh-CN" w:bidi="ar-SA"/>
              </w:rPr>
            </w:pPr>
            <w:r>
              <w:rPr>
                <w:rFonts w:hint="eastAsia" w:ascii="仿宋" w:hAnsi="仿宋" w:eastAsia="仿宋" w:cs="仿宋"/>
                <w:kern w:val="2"/>
                <w:sz w:val="22"/>
                <w:szCs w:val="22"/>
                <w:lang w:val="en-US" w:eastAsia="zh-CN" w:bidi="ar-SA"/>
              </w:rPr>
              <w:t>1562</w:t>
            </w:r>
          </w:p>
        </w:tc>
        <w:tc>
          <w:tcPr>
            <w:tcW w:w="2574" w:type="dxa"/>
            <w:vAlign w:val="center"/>
          </w:tcPr>
          <w:p w14:paraId="3991954D">
            <w:pPr>
              <w:widowControl/>
              <w:jc w:val="center"/>
              <w:textAlignment w:val="center"/>
              <w:rPr>
                <w:rFonts w:hint="eastAsia" w:ascii="仿宋" w:hAnsi="仿宋" w:eastAsia="仿宋" w:cs="仿宋"/>
                <w:kern w:val="2"/>
                <w:sz w:val="22"/>
                <w:szCs w:val="22"/>
                <w:lang w:val="en-US" w:eastAsia="zh-CN" w:bidi="ar-SA"/>
              </w:rPr>
            </w:pPr>
            <w:r>
              <w:rPr>
                <w:rFonts w:hint="eastAsia" w:ascii="仿宋" w:hAnsi="仿宋" w:eastAsia="仿宋" w:cs="仿宋"/>
                <w:color w:val="000000"/>
                <w:kern w:val="0"/>
                <w:sz w:val="22"/>
                <w:szCs w:val="22"/>
                <w:lang w:bidi="ar"/>
              </w:rPr>
              <w:t>归义街道、新市街道、汨罗镇、古培镇、白水镇、川山坪镇、弼时镇、长乐镇、大荆镇、屈子祠镇、神鼎山镇、罗江镇</w:t>
            </w:r>
          </w:p>
        </w:tc>
        <w:tc>
          <w:tcPr>
            <w:tcW w:w="1818" w:type="dxa"/>
            <w:vAlign w:val="center"/>
          </w:tcPr>
          <w:p w14:paraId="33754701">
            <w:pPr>
              <w:widowControl/>
              <w:jc w:val="center"/>
              <w:textAlignment w:val="center"/>
              <w:rPr>
                <w:rFonts w:hint="eastAsia" w:ascii="仿宋" w:hAnsi="仿宋" w:eastAsia="仿宋" w:cs="仿宋"/>
                <w:color w:val="000000"/>
                <w:kern w:val="0"/>
                <w:sz w:val="22"/>
                <w:szCs w:val="22"/>
                <w:lang w:val="en-US" w:eastAsia="zh-CN" w:bidi="ar"/>
              </w:rPr>
            </w:pPr>
            <w:r>
              <w:rPr>
                <w:rFonts w:hint="eastAsia" w:ascii="仿宋" w:hAnsi="仿宋" w:eastAsia="仿宋" w:cs="仿宋"/>
                <w:color w:val="000000"/>
                <w:kern w:val="0"/>
                <w:sz w:val="22"/>
                <w:szCs w:val="22"/>
                <w:lang w:bidi="ar"/>
              </w:rPr>
              <w:t>桃林寺镇、三江镇、白塘镇</w:t>
            </w:r>
          </w:p>
        </w:tc>
        <w:tc>
          <w:tcPr>
            <w:tcW w:w="1658" w:type="dxa"/>
            <w:vAlign w:val="center"/>
          </w:tcPr>
          <w:p w14:paraId="4DFF583B">
            <w:pPr>
              <w:adjustRightInd w:val="0"/>
              <w:snapToGrid w:val="0"/>
              <w:jc w:val="center"/>
              <w:rPr>
                <w:rFonts w:hint="default"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w:t>
            </w:r>
          </w:p>
        </w:tc>
        <w:tc>
          <w:tcPr>
            <w:tcW w:w="1658" w:type="dxa"/>
            <w:vAlign w:val="center"/>
          </w:tcPr>
          <w:p w14:paraId="7A2CF121">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61.35</w:t>
            </w:r>
          </w:p>
        </w:tc>
        <w:tc>
          <w:tcPr>
            <w:tcW w:w="1806" w:type="dxa"/>
            <w:vAlign w:val="center"/>
          </w:tcPr>
          <w:p w14:paraId="36730661">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5.44</w:t>
            </w:r>
          </w:p>
        </w:tc>
        <w:tc>
          <w:tcPr>
            <w:tcW w:w="1655" w:type="dxa"/>
            <w:vAlign w:val="center"/>
          </w:tcPr>
          <w:p w14:paraId="390A5C2F">
            <w:pPr>
              <w:keepNext w:val="0"/>
              <w:keepLines w:val="0"/>
              <w:widowControl/>
              <w:suppressLineNumbers w:val="0"/>
              <w:jc w:val="center"/>
              <w:textAlignment w:val="center"/>
              <w:rPr>
                <w:rFonts w:hint="default" w:ascii="仿宋" w:hAnsi="仿宋" w:eastAsia="仿宋" w:cs="仿宋"/>
                <w:sz w:val="22"/>
                <w:szCs w:val="22"/>
                <w:highlight w:val="yellow"/>
                <w:lang w:val="en-US"/>
              </w:rPr>
            </w:pPr>
            <w:r>
              <w:rPr>
                <w:rFonts w:hint="eastAsia" w:ascii="仿宋" w:hAnsi="仿宋" w:eastAsia="仿宋" w:cs="仿宋"/>
                <w:i w:val="0"/>
                <w:iCs w:val="0"/>
                <w:color w:val="000000"/>
                <w:kern w:val="0"/>
                <w:sz w:val="22"/>
                <w:szCs w:val="22"/>
                <w:u w:val="none"/>
                <w:lang w:val="en-US" w:eastAsia="zh-CN" w:bidi="ar"/>
              </w:rPr>
              <w:t>91.85</w:t>
            </w:r>
          </w:p>
        </w:tc>
      </w:tr>
      <w:tr w14:paraId="0C872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01" w:type="pct"/>
            <w:gridSpan w:val="2"/>
            <w:vAlign w:val="center"/>
          </w:tcPr>
          <w:p w14:paraId="7FD300DF">
            <w:pPr>
              <w:widowControl/>
              <w:jc w:val="center"/>
              <w:textAlignment w:val="center"/>
              <w:rPr>
                <w:rStyle w:val="7"/>
                <w:rFonts w:hint="default" w:ascii="仿宋" w:hAnsi="仿宋" w:eastAsia="仿宋" w:cs="仿宋"/>
                <w:sz w:val="22"/>
                <w:szCs w:val="22"/>
                <w:lang w:val="en-US" w:eastAsia="zh-CN" w:bidi="ar"/>
              </w:rPr>
            </w:pPr>
            <w:r>
              <w:rPr>
                <w:rStyle w:val="7"/>
                <w:rFonts w:hint="eastAsia" w:ascii="仿宋" w:hAnsi="仿宋" w:eastAsia="仿宋" w:cs="仿宋"/>
                <w:sz w:val="22"/>
                <w:szCs w:val="22"/>
                <w:lang w:val="en-US" w:eastAsia="zh-CN" w:bidi="ar"/>
              </w:rPr>
              <w:t>小计</w:t>
            </w:r>
          </w:p>
        </w:tc>
        <w:tc>
          <w:tcPr>
            <w:tcW w:w="562" w:type="pct"/>
            <w:vAlign w:val="center"/>
          </w:tcPr>
          <w:p w14:paraId="5016060C">
            <w:pPr>
              <w:widowControl/>
              <w:jc w:val="center"/>
              <w:textAlignment w:val="center"/>
              <w:rPr>
                <w:rFonts w:hint="eastAsia" w:ascii="仿宋" w:hAnsi="仿宋" w:eastAsia="仿宋" w:cs="仿宋"/>
                <w:kern w:val="2"/>
                <w:sz w:val="22"/>
                <w:szCs w:val="22"/>
                <w:lang w:val="en-US" w:eastAsia="zh-CN" w:bidi="ar-SA"/>
              </w:rPr>
            </w:pPr>
          </w:p>
        </w:tc>
        <w:tc>
          <w:tcPr>
            <w:tcW w:w="861" w:type="pct"/>
            <w:vAlign w:val="center"/>
          </w:tcPr>
          <w:p w14:paraId="1DF30544">
            <w:pPr>
              <w:widowControl/>
              <w:jc w:val="center"/>
              <w:textAlignment w:val="center"/>
              <w:rPr>
                <w:rFonts w:hint="default" w:ascii="仿宋" w:hAnsi="仿宋" w:eastAsia="仿宋" w:cs="仿宋"/>
                <w:color w:val="000000"/>
                <w:kern w:val="0"/>
                <w:sz w:val="22"/>
                <w:szCs w:val="22"/>
                <w:lang w:val="en-US" w:eastAsia="zh-CN" w:bidi="ar"/>
              </w:rPr>
            </w:pPr>
            <w:r>
              <w:rPr>
                <w:rFonts w:hint="eastAsia" w:ascii="仿宋" w:hAnsi="仿宋" w:eastAsia="仿宋" w:cs="仿宋"/>
                <w:color w:val="000000"/>
                <w:kern w:val="0"/>
                <w:sz w:val="22"/>
                <w:szCs w:val="22"/>
                <w:lang w:val="en-US" w:eastAsia="zh-CN" w:bidi="ar"/>
              </w:rPr>
              <w:t>12个</w:t>
            </w:r>
          </w:p>
        </w:tc>
        <w:tc>
          <w:tcPr>
            <w:tcW w:w="608" w:type="pct"/>
            <w:vAlign w:val="center"/>
          </w:tcPr>
          <w:p w14:paraId="21CD3228">
            <w:pPr>
              <w:widowControl/>
              <w:jc w:val="center"/>
              <w:textAlignment w:val="center"/>
              <w:rPr>
                <w:rFonts w:hint="default" w:ascii="仿宋" w:hAnsi="仿宋" w:eastAsia="仿宋" w:cs="仿宋"/>
                <w:color w:val="000000"/>
                <w:kern w:val="0"/>
                <w:sz w:val="22"/>
                <w:szCs w:val="22"/>
                <w:lang w:val="en-US" w:eastAsia="zh-CN" w:bidi="ar"/>
              </w:rPr>
            </w:pPr>
            <w:r>
              <w:rPr>
                <w:rFonts w:hint="eastAsia" w:ascii="仿宋" w:hAnsi="仿宋" w:eastAsia="仿宋" w:cs="仿宋"/>
                <w:color w:val="000000"/>
                <w:kern w:val="0"/>
                <w:sz w:val="22"/>
                <w:szCs w:val="22"/>
                <w:lang w:val="en-US" w:eastAsia="zh-CN" w:bidi="ar"/>
              </w:rPr>
              <w:t>3个</w:t>
            </w:r>
          </w:p>
        </w:tc>
        <w:tc>
          <w:tcPr>
            <w:tcW w:w="554" w:type="pct"/>
            <w:vAlign w:val="center"/>
          </w:tcPr>
          <w:p w14:paraId="7477FB50">
            <w:pPr>
              <w:adjustRightInd w:val="0"/>
              <w:snapToGrid w:val="0"/>
              <w:jc w:val="center"/>
              <w:rPr>
                <w:rFonts w:hint="default"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0个</w:t>
            </w:r>
          </w:p>
        </w:tc>
        <w:tc>
          <w:tcPr>
            <w:tcW w:w="554" w:type="pct"/>
            <w:vAlign w:val="center"/>
          </w:tcPr>
          <w:p w14:paraId="4483696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604" w:type="pct"/>
            <w:vAlign w:val="center"/>
          </w:tcPr>
          <w:p w14:paraId="2B8CEC3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553" w:type="pct"/>
            <w:vAlign w:val="center"/>
          </w:tcPr>
          <w:p w14:paraId="57EC5BE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14:paraId="0B724D15"/>
    <w:p w14:paraId="018C23EC">
      <w:pPr>
        <w:spacing w:line="580" w:lineRule="exac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附表</w:t>
      </w:r>
      <w:r>
        <w:rPr>
          <w:rFonts w:hint="eastAsia" w:ascii="楷体_GB2312" w:hAnsi="楷体_GB2312" w:eastAsia="楷体_GB2312" w:cs="楷体_GB2312"/>
          <w:sz w:val="32"/>
          <w:szCs w:val="32"/>
          <w:lang w:val="en-US" w:eastAsia="zh-CN"/>
        </w:rPr>
        <w:t>2</w:t>
      </w:r>
    </w:p>
    <w:p w14:paraId="4A04A89B">
      <w:pPr>
        <w:spacing w:line="580" w:lineRule="exact"/>
        <w:ind w:left="0" w:leftChars="0" w:firstLine="0" w:firstLineChars="0"/>
        <w:jc w:val="center"/>
        <w:rPr>
          <w:rFonts w:hint="eastAsia" w:ascii="仿宋" w:hAnsi="仿宋" w:eastAsia="仿宋" w:cs="仿宋"/>
          <w:b/>
          <w:bCs/>
          <w:color w:val="000000"/>
          <w:kern w:val="0"/>
          <w:sz w:val="40"/>
          <w:szCs w:val="40"/>
          <w:lang w:val="en-US" w:eastAsia="zh-CN" w:bidi="ar"/>
        </w:rPr>
      </w:pPr>
      <w:r>
        <w:rPr>
          <w:rFonts w:hint="eastAsia" w:ascii="仿宋" w:hAnsi="仿宋" w:eastAsia="仿宋" w:cs="仿宋"/>
          <w:b/>
          <w:bCs/>
          <w:color w:val="000000"/>
          <w:kern w:val="0"/>
          <w:sz w:val="40"/>
          <w:szCs w:val="40"/>
          <w:lang w:val="en-US" w:eastAsia="zh-CN" w:bidi="ar"/>
        </w:rPr>
        <w:t>汨罗市秸秆禁烧区及限烧区划定情况汇总表</w:t>
      </w:r>
    </w:p>
    <w:tbl>
      <w:tblPr>
        <w:tblStyle w:val="3"/>
        <w:tblW w:w="14433" w:type="dxa"/>
        <w:jc w:val="center"/>
        <w:tblLayout w:type="fixed"/>
        <w:tblCellMar>
          <w:top w:w="0" w:type="dxa"/>
          <w:left w:w="108" w:type="dxa"/>
          <w:bottom w:w="0" w:type="dxa"/>
          <w:right w:w="108" w:type="dxa"/>
        </w:tblCellMar>
      </w:tblPr>
      <w:tblGrid>
        <w:gridCol w:w="769"/>
        <w:gridCol w:w="1361"/>
        <w:gridCol w:w="6642"/>
        <w:gridCol w:w="2684"/>
        <w:gridCol w:w="2977"/>
      </w:tblGrid>
      <w:tr w14:paraId="4118CDB4">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D29CC">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序号</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C2A26">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乡镇/街道</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A4679">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全域禁烧区行政村（社区）名单</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F19B4">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部分禁烧区行政村（社区）名单</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2BF00">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lang w:bidi="ar"/>
              </w:rPr>
              <w:t>全域限烧区行政村（社区）名单</w:t>
            </w:r>
          </w:p>
        </w:tc>
      </w:tr>
      <w:tr w14:paraId="5065CDFE">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A1658">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1</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956D5">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归义街道</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268C7">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老街社区、高塘社区、山塘社区、高泉社区、归义社区、友谊河社区、广场社区、荣家坪社区、南江社区、窑洲社区、大路铺社区、龙舟社区、汨新社区、车站社区、罗城社区、双塘社区、石桥坝社区、茶园社区、上马社区、百丈口社区</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54536">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4438A">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r>
      <w:tr w14:paraId="4DF7A01E">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DB96E">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2</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39A7C">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新市街道</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B8D9A">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新市街社区、团山社区、新阳社区、新栗村、团螺村、八里村、元福村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10B29">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AB7E3">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r>
      <w:tr w14:paraId="0D6A22B3">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5D849">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3</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CC9E1">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汨罗镇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33692">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瞭家山社区、汴塘村、蟠龙桥村、夹城村、九雁村、武夷山村、江景村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816E7">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8AAFA">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r>
      <w:tr w14:paraId="044774C4">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5C076">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4</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50AE9">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古培镇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324F">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课功村、雨坛村、南环村、古培塘村、汨水村、岳峰村、双凤村、杨梅铺村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2D5C9">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1A619">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r>
      <w:tr w14:paraId="7E959894">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75854">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5</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AF92F">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白水镇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37DA">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白水社区、群玉村、越江村、西长村、高冲村、王家坪村、关北村、毛岭村、大塘村、唐山村、白水苗圃村、三星村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B96F4">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3F56F">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r>
      <w:tr w14:paraId="07968848">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C354D">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6</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83AFE">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川山坪镇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E3CD">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川山村、清泉村、芭蕉村、玉池林场村、白马城村、万林村、川西村、天井山村、玉池山村、青江村、新船山村、麓风寨村、三姊村、桥坪村、燕塘村、高家坊村、达摩岭村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D273D">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1CDD0">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r>
      <w:tr w14:paraId="59C87629">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9EFC4">
            <w:pPr>
              <w:widowControl/>
              <w:jc w:val="center"/>
              <w:textAlignment w:val="center"/>
              <w:rPr>
                <w:rFonts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7</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79BBF">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弼时镇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BFD45">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金山社区、大里塘村、弼时村、桃花村、影珠山村、白沙村、铜盆村、平华村、序贤村、清溪村、湄江村、李家塅村、明月山村、高燕村、南龙村、白鹤洞村、玉池村、大龙山村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44112">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1FA2A">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r>
      <w:tr w14:paraId="5A341A10">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859B9">
            <w:pPr>
              <w:widowControl/>
              <w:jc w:val="center"/>
              <w:textAlignment w:val="center"/>
              <w:rPr>
                <w:rFonts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8</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13DF6">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长乐镇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EACA1">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长乐街社区、长新社区、马桥村、青狮村、长乐村、长北村、联江村、海山村、合旗村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CD5C3">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3E75B">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r>
      <w:tr w14:paraId="47FE8999">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74897">
            <w:pPr>
              <w:widowControl/>
              <w:jc w:val="center"/>
              <w:textAlignment w:val="center"/>
              <w:rPr>
                <w:rFonts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9</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F9DF4">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大荆镇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28149">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大荆社区、桂花村、东文村、金龙新村、古仑村、金渡村、白杨村、金水村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6D50F">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6AF17">
            <w:pPr>
              <w:jc w:val="center"/>
              <w:rPr>
                <w:rFonts w:ascii="仿宋" w:hAnsi="仿宋" w:eastAsia="仿宋" w:cs="仿宋"/>
                <w:color w:val="000000"/>
                <w:sz w:val="24"/>
                <w:szCs w:val="24"/>
              </w:rPr>
            </w:pPr>
            <w:r>
              <w:rPr>
                <w:rFonts w:hint="eastAsia" w:ascii="仿宋" w:hAnsi="仿宋" w:eastAsia="仿宋" w:cs="仿宋"/>
                <w:color w:val="000000"/>
                <w:sz w:val="24"/>
                <w:szCs w:val="24"/>
              </w:rPr>
              <w:t>/</w:t>
            </w:r>
          </w:p>
        </w:tc>
      </w:tr>
      <w:tr w14:paraId="4FA8DC92">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97696">
            <w:pPr>
              <w:widowControl/>
              <w:jc w:val="center"/>
              <w:textAlignment w:val="center"/>
              <w:rPr>
                <w:rFonts w:ascii="仿宋" w:hAnsi="仿宋" w:eastAsia="仿宋" w:cs="仿宋"/>
                <w:color w:val="auto"/>
                <w:kern w:val="0"/>
                <w:sz w:val="24"/>
                <w:szCs w:val="24"/>
                <w:lang w:bidi="ar"/>
              </w:rPr>
            </w:pPr>
            <w:r>
              <w:rPr>
                <w:rFonts w:hint="eastAsia" w:ascii="仿宋" w:hAnsi="仿宋" w:eastAsia="仿宋" w:cs="仿宋"/>
                <w:color w:val="auto"/>
                <w:kern w:val="0"/>
                <w:sz w:val="24"/>
                <w:szCs w:val="24"/>
                <w:lang w:bidi="ar"/>
              </w:rPr>
              <w:t>10</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2AC1B">
            <w:pPr>
              <w:widowControl/>
              <w:jc w:val="center"/>
              <w:textAlignment w:val="center"/>
              <w:rPr>
                <w:rFonts w:ascii="仿宋" w:hAnsi="仿宋" w:eastAsia="仿宋" w:cs="仿宋"/>
                <w:color w:val="auto"/>
                <w:sz w:val="24"/>
                <w:szCs w:val="24"/>
              </w:rPr>
            </w:pPr>
            <w:r>
              <w:rPr>
                <w:rFonts w:hint="eastAsia" w:ascii="仿宋" w:hAnsi="仿宋" w:eastAsia="仿宋" w:cs="仿宋"/>
                <w:color w:val="auto"/>
                <w:sz w:val="24"/>
                <w:szCs w:val="24"/>
              </w:rPr>
              <w:t>桃林寺镇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5624">
            <w:pPr>
              <w:widowControl/>
              <w:jc w:val="center"/>
              <w:textAlignment w:val="center"/>
              <w:rPr>
                <w:rFonts w:ascii="仿宋" w:hAnsi="仿宋" w:eastAsia="仿宋" w:cs="仿宋"/>
                <w:color w:val="auto"/>
                <w:sz w:val="24"/>
                <w:szCs w:val="24"/>
              </w:rPr>
            </w:pPr>
            <w:r>
              <w:rPr>
                <w:rFonts w:hint="eastAsia" w:ascii="仿宋" w:hAnsi="仿宋" w:eastAsia="仿宋" w:cs="仿宋"/>
                <w:color w:val="auto"/>
                <w:sz w:val="24"/>
                <w:szCs w:val="24"/>
              </w:rPr>
              <w:t>东塘社区、高丰村、合力村、五柱村、杨爷庙村、三新村、同心村、江北村、石桥村、西塘村、永红村、永兴村、亦仁村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F37CF">
            <w:pPr>
              <w:jc w:val="center"/>
              <w:rPr>
                <w:rFonts w:ascii="仿宋" w:hAnsi="仿宋" w:eastAsia="仿宋" w:cs="仿宋"/>
                <w:color w:val="auto"/>
                <w:sz w:val="24"/>
                <w:szCs w:val="24"/>
              </w:rPr>
            </w:pPr>
            <w:r>
              <w:rPr>
                <w:rFonts w:hint="eastAsia" w:ascii="仿宋" w:hAnsi="仿宋" w:eastAsia="仿宋" w:cs="仿宋"/>
                <w:color w:val="auto"/>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CD8EB">
            <w:pPr>
              <w:jc w:val="center"/>
              <w:rPr>
                <w:rFonts w:ascii="仿宋" w:hAnsi="仿宋" w:eastAsia="仿宋" w:cs="仿宋"/>
                <w:color w:val="auto"/>
                <w:sz w:val="24"/>
                <w:szCs w:val="24"/>
              </w:rPr>
            </w:pPr>
            <w:r>
              <w:rPr>
                <w:rFonts w:hint="eastAsia" w:ascii="仿宋" w:hAnsi="仿宋" w:eastAsia="仿宋" w:cs="仿宋"/>
                <w:color w:val="auto"/>
                <w:sz w:val="24"/>
                <w:szCs w:val="24"/>
              </w:rPr>
              <w:t>新塘社区、武穆村、磊石村、赤卫村、玉林村</w:t>
            </w:r>
          </w:p>
        </w:tc>
      </w:tr>
      <w:tr w14:paraId="314316F9">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92DE8">
            <w:pPr>
              <w:widowControl/>
              <w:jc w:val="center"/>
              <w:textAlignment w:val="center"/>
              <w:rPr>
                <w:rFonts w:ascii="仿宋" w:hAnsi="仿宋" w:eastAsia="仿宋" w:cs="仿宋"/>
                <w:color w:val="auto"/>
                <w:kern w:val="0"/>
                <w:sz w:val="24"/>
                <w:szCs w:val="24"/>
                <w:lang w:bidi="ar"/>
              </w:rPr>
            </w:pPr>
            <w:r>
              <w:rPr>
                <w:rFonts w:hint="eastAsia" w:ascii="仿宋" w:hAnsi="仿宋" w:eastAsia="仿宋" w:cs="仿宋"/>
                <w:color w:val="auto"/>
                <w:kern w:val="0"/>
                <w:sz w:val="24"/>
                <w:szCs w:val="24"/>
                <w:lang w:bidi="ar"/>
              </w:rPr>
              <w:t>11</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08436">
            <w:pPr>
              <w:widowControl/>
              <w:jc w:val="center"/>
              <w:textAlignment w:val="center"/>
              <w:rPr>
                <w:rFonts w:ascii="仿宋" w:hAnsi="仿宋" w:eastAsia="仿宋" w:cs="仿宋"/>
                <w:color w:val="auto"/>
                <w:sz w:val="24"/>
                <w:szCs w:val="24"/>
              </w:rPr>
            </w:pPr>
            <w:r>
              <w:rPr>
                <w:rFonts w:hint="eastAsia" w:ascii="仿宋" w:hAnsi="仿宋" w:eastAsia="仿宋" w:cs="仿宋"/>
                <w:color w:val="auto"/>
                <w:sz w:val="24"/>
                <w:szCs w:val="24"/>
              </w:rPr>
              <w:t>三江镇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B0DE9">
            <w:pPr>
              <w:widowControl/>
              <w:jc w:val="center"/>
              <w:textAlignment w:val="center"/>
              <w:rPr>
                <w:rFonts w:ascii="仿宋" w:hAnsi="仿宋" w:eastAsia="仿宋" w:cs="仿宋"/>
                <w:color w:val="auto"/>
                <w:sz w:val="24"/>
                <w:szCs w:val="24"/>
              </w:rPr>
            </w:pPr>
            <w:r>
              <w:rPr>
                <w:rFonts w:hint="eastAsia" w:ascii="仿宋" w:hAnsi="仿宋" w:eastAsia="仿宋" w:cs="仿宋"/>
                <w:color w:val="auto"/>
                <w:sz w:val="24"/>
                <w:szCs w:val="24"/>
              </w:rPr>
              <w:t>花桥社区、花桥村、洪源洞村、太平村、荆浒村、望峰村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1FF17">
            <w:pPr>
              <w:jc w:val="center"/>
              <w:rPr>
                <w:rFonts w:ascii="仿宋" w:hAnsi="仿宋" w:eastAsia="仿宋" w:cs="仿宋"/>
                <w:color w:val="auto"/>
                <w:sz w:val="24"/>
                <w:szCs w:val="24"/>
              </w:rPr>
            </w:pPr>
            <w:r>
              <w:rPr>
                <w:rFonts w:hint="eastAsia" w:ascii="仿宋" w:hAnsi="仿宋" w:eastAsia="仿宋" w:cs="仿宋"/>
                <w:color w:val="auto"/>
                <w:sz w:val="24"/>
                <w:szCs w:val="24"/>
              </w:rPr>
              <w:t>智峰村、双桥村</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C9A8E">
            <w:pPr>
              <w:jc w:val="center"/>
              <w:rPr>
                <w:rFonts w:ascii="仿宋" w:hAnsi="仿宋" w:eastAsia="仿宋" w:cs="仿宋"/>
                <w:color w:val="auto"/>
                <w:sz w:val="24"/>
                <w:szCs w:val="24"/>
              </w:rPr>
            </w:pPr>
            <w:r>
              <w:rPr>
                <w:rFonts w:hint="eastAsia" w:ascii="仿宋" w:hAnsi="仿宋" w:eastAsia="仿宋" w:cs="仿宋"/>
                <w:color w:val="auto"/>
                <w:sz w:val="24"/>
                <w:szCs w:val="24"/>
              </w:rPr>
              <w:t>八景村</w:t>
            </w:r>
          </w:p>
        </w:tc>
      </w:tr>
      <w:tr w14:paraId="0A91CC39">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E076A">
            <w:pPr>
              <w:widowControl/>
              <w:jc w:val="center"/>
              <w:textAlignment w:val="center"/>
              <w:rPr>
                <w:rFonts w:ascii="仿宋" w:hAnsi="仿宋" w:eastAsia="仿宋" w:cs="仿宋"/>
                <w:color w:val="auto"/>
                <w:kern w:val="0"/>
                <w:sz w:val="24"/>
                <w:szCs w:val="24"/>
                <w:lang w:bidi="ar"/>
              </w:rPr>
            </w:pPr>
            <w:r>
              <w:rPr>
                <w:rFonts w:hint="eastAsia" w:ascii="仿宋" w:hAnsi="仿宋" w:eastAsia="仿宋" w:cs="仿宋"/>
                <w:color w:val="auto"/>
                <w:kern w:val="0"/>
                <w:sz w:val="24"/>
                <w:szCs w:val="24"/>
                <w:lang w:bidi="ar"/>
              </w:rPr>
              <w:t>12</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0311">
            <w:pPr>
              <w:widowControl/>
              <w:jc w:val="center"/>
              <w:textAlignment w:val="center"/>
              <w:rPr>
                <w:rFonts w:ascii="仿宋" w:hAnsi="仿宋" w:eastAsia="仿宋" w:cs="仿宋"/>
                <w:color w:val="auto"/>
                <w:sz w:val="24"/>
                <w:szCs w:val="24"/>
              </w:rPr>
            </w:pPr>
            <w:r>
              <w:rPr>
                <w:rFonts w:hint="eastAsia" w:ascii="仿宋" w:hAnsi="仿宋" w:eastAsia="仿宋" w:cs="仿宋"/>
                <w:color w:val="auto"/>
                <w:sz w:val="24"/>
                <w:szCs w:val="24"/>
              </w:rPr>
              <w:t>屈子祠镇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19417">
            <w:pPr>
              <w:widowControl/>
              <w:jc w:val="center"/>
              <w:textAlignment w:val="center"/>
              <w:rPr>
                <w:rFonts w:ascii="仿宋" w:hAnsi="仿宋" w:eastAsia="仿宋" w:cs="仿宋"/>
                <w:color w:val="auto"/>
                <w:sz w:val="24"/>
                <w:szCs w:val="24"/>
              </w:rPr>
            </w:pPr>
            <w:r>
              <w:rPr>
                <w:rFonts w:hint="eastAsia" w:ascii="仿宋" w:hAnsi="仿宋" w:eastAsia="仿宋" w:cs="仿宋"/>
                <w:color w:val="auto"/>
                <w:sz w:val="24"/>
                <w:szCs w:val="24"/>
              </w:rPr>
              <w:t>屈子祠村、屈原村、双楚村、新义村、渔街村、范家园村、徽山村、永青村、伏林村、金山村、新茶村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25323">
            <w:pPr>
              <w:jc w:val="center"/>
              <w:rPr>
                <w:rFonts w:ascii="仿宋" w:hAnsi="仿宋" w:eastAsia="仿宋" w:cs="仿宋"/>
                <w:color w:val="auto"/>
                <w:sz w:val="24"/>
                <w:szCs w:val="24"/>
              </w:rPr>
            </w:pPr>
            <w:r>
              <w:rPr>
                <w:rFonts w:hint="eastAsia" w:ascii="仿宋" w:hAnsi="仿宋" w:eastAsia="仿宋" w:cs="仿宋"/>
                <w:color w:val="auto"/>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F67E4">
            <w:pPr>
              <w:jc w:val="center"/>
              <w:rPr>
                <w:rFonts w:ascii="仿宋" w:hAnsi="仿宋" w:eastAsia="仿宋" w:cs="仿宋"/>
                <w:color w:val="auto"/>
                <w:sz w:val="24"/>
                <w:szCs w:val="24"/>
              </w:rPr>
            </w:pPr>
            <w:r>
              <w:rPr>
                <w:rFonts w:hint="eastAsia" w:ascii="仿宋" w:hAnsi="仿宋" w:eastAsia="仿宋" w:cs="仿宋"/>
                <w:color w:val="auto"/>
                <w:sz w:val="24"/>
                <w:szCs w:val="24"/>
              </w:rPr>
              <w:t>/</w:t>
            </w:r>
          </w:p>
        </w:tc>
      </w:tr>
      <w:tr w14:paraId="33CB8A6A">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29CFB">
            <w:pPr>
              <w:widowControl/>
              <w:jc w:val="center"/>
              <w:textAlignment w:val="center"/>
              <w:rPr>
                <w:rFonts w:ascii="仿宋" w:hAnsi="仿宋" w:eastAsia="仿宋" w:cs="仿宋"/>
                <w:color w:val="auto"/>
                <w:kern w:val="0"/>
                <w:sz w:val="24"/>
                <w:szCs w:val="24"/>
                <w:lang w:bidi="ar"/>
              </w:rPr>
            </w:pPr>
            <w:r>
              <w:rPr>
                <w:rFonts w:hint="eastAsia" w:ascii="仿宋" w:hAnsi="仿宋" w:eastAsia="仿宋" w:cs="仿宋"/>
                <w:color w:val="auto"/>
                <w:kern w:val="0"/>
                <w:sz w:val="24"/>
                <w:szCs w:val="24"/>
                <w:lang w:bidi="ar"/>
              </w:rPr>
              <w:t>13</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AC840">
            <w:pPr>
              <w:widowControl/>
              <w:jc w:val="center"/>
              <w:textAlignment w:val="center"/>
              <w:rPr>
                <w:rFonts w:ascii="仿宋" w:hAnsi="仿宋" w:eastAsia="仿宋" w:cs="仿宋"/>
                <w:color w:val="auto"/>
                <w:sz w:val="24"/>
                <w:szCs w:val="24"/>
              </w:rPr>
            </w:pPr>
            <w:r>
              <w:rPr>
                <w:rFonts w:hint="eastAsia" w:ascii="仿宋" w:hAnsi="仿宋" w:eastAsia="仿宋" w:cs="仿宋"/>
                <w:color w:val="auto"/>
                <w:sz w:val="24"/>
                <w:szCs w:val="24"/>
              </w:rPr>
              <w:t>神鼎山镇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64A8">
            <w:pPr>
              <w:widowControl/>
              <w:jc w:val="center"/>
              <w:textAlignment w:val="center"/>
              <w:rPr>
                <w:rFonts w:ascii="仿宋" w:hAnsi="仿宋" w:eastAsia="仿宋" w:cs="仿宋"/>
                <w:color w:val="auto"/>
                <w:sz w:val="24"/>
                <w:szCs w:val="24"/>
              </w:rPr>
            </w:pPr>
            <w:r>
              <w:rPr>
                <w:rFonts w:hint="eastAsia" w:ascii="仿宋" w:hAnsi="仿宋" w:eastAsia="仿宋" w:cs="仿宋"/>
                <w:color w:val="auto"/>
                <w:sz w:val="24"/>
                <w:szCs w:val="24"/>
              </w:rPr>
              <w:t>先锋社区、黄柏村、云山神村、苏南村、新开村、双枫村、丰仓村、神鼎山村、新龙村、飘峰村、兰溪村、鹅江村、双江口村、沙溪村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59F44">
            <w:pPr>
              <w:jc w:val="center"/>
              <w:rPr>
                <w:rFonts w:ascii="仿宋" w:hAnsi="仿宋" w:eastAsia="仿宋" w:cs="仿宋"/>
                <w:color w:val="auto"/>
                <w:sz w:val="24"/>
                <w:szCs w:val="24"/>
              </w:rPr>
            </w:pPr>
            <w:r>
              <w:rPr>
                <w:rFonts w:hint="eastAsia" w:ascii="仿宋" w:hAnsi="仿宋" w:eastAsia="仿宋" w:cs="仿宋"/>
                <w:color w:val="auto"/>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FD21D">
            <w:pPr>
              <w:jc w:val="center"/>
              <w:rPr>
                <w:rFonts w:ascii="仿宋" w:hAnsi="仿宋" w:eastAsia="仿宋" w:cs="仿宋"/>
                <w:color w:val="auto"/>
                <w:sz w:val="24"/>
                <w:szCs w:val="24"/>
              </w:rPr>
            </w:pPr>
            <w:r>
              <w:rPr>
                <w:rFonts w:hint="eastAsia" w:ascii="仿宋" w:hAnsi="仿宋" w:eastAsia="仿宋" w:cs="仿宋"/>
                <w:color w:val="auto"/>
                <w:sz w:val="24"/>
                <w:szCs w:val="24"/>
              </w:rPr>
              <w:t>/</w:t>
            </w:r>
          </w:p>
        </w:tc>
      </w:tr>
      <w:tr w14:paraId="3417E412">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BF70F">
            <w:pPr>
              <w:widowControl/>
              <w:jc w:val="center"/>
              <w:textAlignment w:val="center"/>
              <w:rPr>
                <w:rFonts w:ascii="仿宋" w:hAnsi="仿宋" w:eastAsia="仿宋" w:cs="仿宋"/>
                <w:color w:val="auto"/>
                <w:kern w:val="0"/>
                <w:sz w:val="24"/>
                <w:szCs w:val="24"/>
                <w:lang w:bidi="ar"/>
              </w:rPr>
            </w:pPr>
            <w:r>
              <w:rPr>
                <w:rFonts w:hint="eastAsia" w:ascii="仿宋" w:hAnsi="仿宋" w:eastAsia="仿宋" w:cs="仿宋"/>
                <w:color w:val="auto"/>
                <w:kern w:val="0"/>
                <w:sz w:val="24"/>
                <w:szCs w:val="24"/>
                <w:lang w:bidi="ar"/>
              </w:rPr>
              <w:t>14</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20BC8">
            <w:pPr>
              <w:widowControl/>
              <w:jc w:val="center"/>
              <w:textAlignment w:val="center"/>
              <w:rPr>
                <w:rFonts w:ascii="仿宋" w:hAnsi="仿宋" w:eastAsia="仿宋" w:cs="仿宋"/>
                <w:color w:val="auto"/>
                <w:sz w:val="24"/>
                <w:szCs w:val="24"/>
              </w:rPr>
            </w:pPr>
            <w:r>
              <w:rPr>
                <w:rFonts w:hint="eastAsia" w:ascii="仿宋" w:hAnsi="仿宋" w:eastAsia="仿宋" w:cs="仿宋"/>
                <w:color w:val="auto"/>
                <w:sz w:val="24"/>
                <w:szCs w:val="24"/>
              </w:rPr>
              <w:t>罗江镇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A9B31">
            <w:pPr>
              <w:widowControl/>
              <w:jc w:val="center"/>
              <w:textAlignment w:val="center"/>
              <w:rPr>
                <w:rFonts w:ascii="仿宋" w:hAnsi="仿宋" w:eastAsia="仿宋" w:cs="仿宋"/>
                <w:color w:val="auto"/>
                <w:sz w:val="24"/>
                <w:szCs w:val="24"/>
              </w:rPr>
            </w:pPr>
            <w:r>
              <w:rPr>
                <w:rFonts w:hint="eastAsia" w:ascii="仿宋" w:hAnsi="仿宋" w:eastAsia="仿宋" w:cs="仿宋"/>
                <w:color w:val="auto"/>
                <w:sz w:val="24"/>
                <w:szCs w:val="24"/>
              </w:rPr>
              <w:t>红花山村、石仑山村、汨东村、滨江村、罗滨村、罗江村、黄市村、金塘村、托头岭村、尚义村、天井村、嵩山村、山秀村、群英村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ED781">
            <w:pPr>
              <w:jc w:val="center"/>
              <w:rPr>
                <w:rFonts w:ascii="仿宋" w:hAnsi="仿宋" w:eastAsia="仿宋" w:cs="仿宋"/>
                <w:color w:val="auto"/>
                <w:sz w:val="24"/>
                <w:szCs w:val="24"/>
              </w:rPr>
            </w:pPr>
            <w:r>
              <w:rPr>
                <w:rFonts w:hint="eastAsia" w:ascii="仿宋" w:hAnsi="仿宋" w:eastAsia="仿宋" w:cs="仿宋"/>
                <w:color w:val="auto"/>
                <w:sz w:val="24"/>
                <w:szCs w:val="24"/>
              </w:rPr>
              <w:t>/</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E1962">
            <w:pPr>
              <w:jc w:val="center"/>
              <w:rPr>
                <w:rFonts w:ascii="仿宋" w:hAnsi="仿宋" w:eastAsia="仿宋" w:cs="仿宋"/>
                <w:color w:val="auto"/>
                <w:sz w:val="24"/>
                <w:szCs w:val="24"/>
              </w:rPr>
            </w:pPr>
            <w:r>
              <w:rPr>
                <w:rFonts w:hint="eastAsia" w:ascii="仿宋" w:hAnsi="仿宋" w:eastAsia="仿宋" w:cs="仿宋"/>
                <w:color w:val="auto"/>
                <w:sz w:val="24"/>
                <w:szCs w:val="24"/>
              </w:rPr>
              <w:t>/</w:t>
            </w:r>
          </w:p>
        </w:tc>
      </w:tr>
      <w:tr w14:paraId="41E42218">
        <w:tblPrEx>
          <w:tblCellMar>
            <w:top w:w="0" w:type="dxa"/>
            <w:left w:w="108" w:type="dxa"/>
            <w:bottom w:w="0" w:type="dxa"/>
            <w:right w:w="108" w:type="dxa"/>
          </w:tblCellMar>
        </w:tblPrEx>
        <w:trPr>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FB939">
            <w:pPr>
              <w:widowControl/>
              <w:jc w:val="center"/>
              <w:textAlignment w:val="center"/>
              <w:rPr>
                <w:rFonts w:ascii="仿宋" w:hAnsi="仿宋" w:eastAsia="仿宋" w:cs="仿宋"/>
                <w:color w:val="auto"/>
                <w:kern w:val="0"/>
                <w:sz w:val="24"/>
                <w:szCs w:val="24"/>
                <w:lang w:bidi="ar"/>
              </w:rPr>
            </w:pPr>
            <w:r>
              <w:rPr>
                <w:rFonts w:hint="eastAsia" w:ascii="仿宋" w:hAnsi="仿宋" w:eastAsia="仿宋" w:cs="仿宋"/>
                <w:color w:val="auto"/>
                <w:kern w:val="0"/>
                <w:sz w:val="24"/>
                <w:szCs w:val="24"/>
                <w:lang w:bidi="ar"/>
              </w:rPr>
              <w:t>15</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F9513">
            <w:pPr>
              <w:widowControl/>
              <w:jc w:val="center"/>
              <w:textAlignment w:val="center"/>
              <w:rPr>
                <w:rFonts w:ascii="仿宋" w:hAnsi="仿宋" w:eastAsia="仿宋" w:cs="仿宋"/>
                <w:color w:val="auto"/>
                <w:sz w:val="24"/>
                <w:szCs w:val="24"/>
              </w:rPr>
            </w:pPr>
            <w:r>
              <w:rPr>
                <w:rFonts w:hint="eastAsia" w:ascii="仿宋" w:hAnsi="仿宋" w:eastAsia="仿宋" w:cs="仿宋"/>
                <w:color w:val="auto"/>
                <w:sz w:val="24"/>
                <w:szCs w:val="24"/>
              </w:rPr>
              <w:t>白塘镇</w:t>
            </w:r>
          </w:p>
        </w:tc>
        <w:tc>
          <w:tcPr>
            <w:tcW w:w="66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C5CBF">
            <w:pPr>
              <w:widowControl/>
              <w:jc w:val="center"/>
              <w:textAlignment w:val="center"/>
              <w:rPr>
                <w:rFonts w:ascii="仿宋" w:hAnsi="仿宋" w:eastAsia="仿宋" w:cs="仿宋"/>
                <w:color w:val="auto"/>
                <w:sz w:val="24"/>
                <w:szCs w:val="24"/>
              </w:rPr>
            </w:pPr>
            <w:r>
              <w:rPr>
                <w:rFonts w:hint="eastAsia" w:ascii="仿宋" w:hAnsi="仿宋" w:eastAsia="仿宋" w:cs="仿宋"/>
                <w:color w:val="auto"/>
                <w:sz w:val="24"/>
                <w:szCs w:val="24"/>
              </w:rPr>
              <w:t>移风村、汨北村、磊石渔场村、六湖村</w:t>
            </w:r>
          </w:p>
        </w:tc>
        <w:tc>
          <w:tcPr>
            <w:tcW w:w="2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7A9A3">
            <w:pPr>
              <w:jc w:val="center"/>
              <w:rPr>
                <w:rFonts w:ascii="仿宋" w:hAnsi="仿宋" w:eastAsia="仿宋" w:cs="仿宋"/>
                <w:color w:val="auto"/>
                <w:sz w:val="24"/>
                <w:szCs w:val="24"/>
              </w:rPr>
            </w:pPr>
            <w:r>
              <w:rPr>
                <w:rFonts w:hint="eastAsia" w:ascii="仿宋" w:hAnsi="仿宋" w:eastAsia="仿宋" w:cs="仿宋"/>
                <w:color w:val="auto"/>
                <w:sz w:val="24"/>
                <w:szCs w:val="24"/>
              </w:rPr>
              <w:t>磊石山村、仁义村</w:t>
            </w:r>
          </w:p>
        </w:tc>
        <w:tc>
          <w:tcPr>
            <w:tcW w:w="2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CB549">
            <w:pPr>
              <w:jc w:val="center"/>
              <w:rPr>
                <w:rFonts w:ascii="仿宋" w:hAnsi="仿宋" w:eastAsia="仿宋" w:cs="仿宋"/>
                <w:color w:val="auto"/>
                <w:sz w:val="24"/>
                <w:szCs w:val="24"/>
              </w:rPr>
            </w:pPr>
            <w:r>
              <w:rPr>
                <w:rFonts w:hint="eastAsia" w:ascii="仿宋" w:hAnsi="仿宋" w:eastAsia="仿宋" w:cs="仿宋"/>
                <w:color w:val="auto"/>
                <w:sz w:val="24"/>
                <w:szCs w:val="24"/>
              </w:rPr>
              <w:t>马厅村、白塘村、穆屯村、高联村</w:t>
            </w:r>
          </w:p>
        </w:tc>
      </w:tr>
    </w:tbl>
    <w:p w14:paraId="5CDD8AB7"/>
    <w:p w14:paraId="5AD4E322"/>
    <w:p w14:paraId="37B0C667"/>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GJiMWVmZTg4ZjFhYWZhYWFiMzBkODkwYWRkZmUifQ=="/>
  </w:docVars>
  <w:rsids>
    <w:rsidRoot w:val="2CF36FAF"/>
    <w:rsid w:val="167A335C"/>
    <w:rsid w:val="21931DA4"/>
    <w:rsid w:val="27F14055"/>
    <w:rsid w:val="29B8076C"/>
    <w:rsid w:val="2CF36FAF"/>
    <w:rsid w:val="44D76696"/>
    <w:rsid w:val="51704FC2"/>
    <w:rsid w:val="541B668F"/>
    <w:rsid w:val="571C25C1"/>
    <w:rsid w:val="5A7568E3"/>
    <w:rsid w:val="5E6B446A"/>
    <w:rsid w:val="5E7E3EAA"/>
    <w:rsid w:val="63845D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qFormat/>
    <w:uiPriority w:val="9"/>
    <w:pPr>
      <w:keepNext/>
      <w:keepLines/>
      <w:outlineLvl w:val="0"/>
    </w:pPr>
    <w:rPr>
      <w:rFonts w:eastAsia="黑体"/>
      <w:bCs/>
      <w:kern w:val="44"/>
      <w:sz w:val="32"/>
      <w:szCs w:val="44"/>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new"/>
    <w:basedOn w:val="1"/>
    <w:qFormat/>
    <w:uiPriority w:val="0"/>
    <w:pPr>
      <w:ind w:firstLine="200" w:firstLineChars="200"/>
    </w:pPr>
    <w:rPr>
      <w:rFonts w:ascii="仿宋" w:hAnsi="仿宋" w:eastAsia="仿宋_GB2312" w:cs="Times New Roman"/>
      <w:sz w:val="32"/>
      <w:szCs w:val="28"/>
    </w:rPr>
  </w:style>
  <w:style w:type="character" w:customStyle="1" w:styleId="7">
    <w:name w:val="font41"/>
    <w:basedOn w:val="5"/>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2147</Words>
  <Characters>2222</Characters>
  <Lines>0</Lines>
  <Paragraphs>0</Paragraphs>
  <TotalTime>14</TotalTime>
  <ScaleCrop>false</ScaleCrop>
  <LinksUpToDate>false</LinksUpToDate>
  <CharactersWithSpaces>2222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2025-06-08T09:16:00Z</dcterms:created>
  <dc:creator>任森华</dc:creator>
  <cp:lastModifiedBy>吴鹏飞</cp:lastModifiedBy>
  <cp:lastPrinted>2025-06-17T00:58:17Z</cp:lastPrinted>
  <dcterms:modified xsi:type="dcterms:W3CDTF">2025-06-17T01:00:42Z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4A76C83A4B414922BD9ECEF5ED9BFE62_13</vt:lpwstr>
  </property>
  <property fmtid="{D5CDD505-2E9C-101B-9397-08002B2CF9AE}" pid="4" name="KSOTemplateDocerSaveRecord">
    <vt:lpwstr>eyJoZGlkIjoiNjY3YWJmMmFlMDVjZDQxZjJlYWNiNjZjY2Y3YzkzMmIiLCJ1c2VySWQiOiI1MDY1MjM1MjYifQ==</vt:lpwstr>
  </property>
</Properties>
</file>