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28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6.2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6.2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25.19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53.26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25.19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53.26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38.41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39.62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31.85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0.98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3.72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3.66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7.75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3.1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    填报日期：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            单位负责人签字：</w:t>
      </w:r>
    </w:p>
    <w:p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117" w:line="219" w:lineRule="auto"/>
        <w:ind w:firstLine="616"/>
        <w:jc w:val="both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344.36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386.61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386.61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386.61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386.61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386.61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333.35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53.26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中型水库防汛监管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8座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8座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无重大安全事故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无重大安全事故</w:t>
            </w:r>
          </w:p>
        </w:tc>
        <w:tc>
          <w:tcPr>
            <w:tcW w:w="1269" w:type="dxa"/>
            <w:vAlign w:val="center"/>
          </w:tcPr>
          <w:p>
            <w:pPr>
              <w:tabs>
                <w:tab w:val="left" w:pos="337"/>
              </w:tabs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</w:rPr>
              <w:t>无重大安全事故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年内完成各项任务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全年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全年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  <w:r>
              <w:rPr>
                <w:rFonts w:hint="eastAsia" w:ascii="仿宋_GB2312" w:eastAsia="仿宋_GB2312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维护人民财产安全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维护人民财产安全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维护人民财产安全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维护人民生活安全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维护人民生活安全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维护人民生活安全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对自然环境造成负面影响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  <w:r>
              <w:rPr>
                <w:rFonts w:hint="eastAsia" w:ascii="仿宋_GB2312" w:eastAsia="仿宋_GB2312"/>
                <w:kern w:val="0"/>
              </w:rPr>
              <w:t>负面影响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  <w:r>
              <w:rPr>
                <w:rFonts w:hint="eastAsia" w:ascii="仿宋_GB2312" w:eastAsia="仿宋_GB2312"/>
                <w:kern w:val="0"/>
              </w:rPr>
              <w:t>负面影响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维护社会可持续发展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有所提高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有所提高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群众满意度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&gt;95%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&gt;95%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控制在预算范围内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控制在预算范围内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控制在预算范围内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对社会无负面影响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无负面影响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无负面影响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对生态环境造成负面影响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  <w:r>
              <w:rPr>
                <w:rFonts w:hint="eastAsia" w:ascii="仿宋_GB2312" w:eastAsia="仿宋_GB2312"/>
                <w:kern w:val="0"/>
              </w:rPr>
              <w:t>负面影响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  <w:r>
              <w:rPr>
                <w:rFonts w:hint="eastAsia" w:ascii="仿宋_GB2312" w:eastAsia="仿宋_GB2312"/>
                <w:kern w:val="0"/>
              </w:rPr>
              <w:t>负面影响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98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 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联系电话：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  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>
      <w:pPr>
        <w:spacing w:line="240" w:lineRule="auto"/>
        <w:ind w:firstLine="420"/>
        <w:jc w:val="left"/>
        <w:rPr>
          <w:rFonts w:ascii="宋体" w:hAnsi="宋体" w:eastAsia="宋体" w:cs="宋体"/>
          <w:kern w:val="0"/>
          <w:lang w:eastAsia="zh-CN"/>
        </w:rPr>
      </w:pPr>
    </w:p>
    <w:p>
      <w:pPr>
        <w:rPr>
          <w:rFonts w:hint="eastAsia" w:ascii="仿宋_GB2312" w:hAnsi="宋体" w:eastAsia="仿宋_GB2312" w:cs="宋体"/>
          <w:kern w:val="0"/>
          <w:lang w:eastAsia="zh-CN"/>
        </w:r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</w:t>
      </w:r>
    </w:p>
    <w:p>
      <w:pPr>
        <w:rPr>
          <w:rFonts w:hint="eastAsia" w:ascii="仿宋_GB2312" w:hAnsi="宋体" w:eastAsia="仿宋_GB2312" w:cs="宋体"/>
          <w:kern w:val="0"/>
          <w:lang w:eastAsia="zh-CN"/>
        </w:rPr>
      </w:pPr>
    </w:p>
    <w:p>
      <w:pPr>
        <w:rPr>
          <w:rFonts w:hint="eastAsia" w:ascii="仿宋_GB2312" w:hAnsi="宋体" w:eastAsia="仿宋_GB2312" w:cs="宋体"/>
          <w:kern w:val="0"/>
          <w:lang w:eastAsia="zh-CN"/>
        </w:rPr>
        <w:sectPr>
          <w:footerReference r:id="rId7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（本单位无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30万以上项目支出，故本表未空</w:t>
      </w:r>
      <w:r>
        <w:rPr>
          <w:rFonts w:hint="eastAsia" w:ascii="仿宋_GB2312" w:hAnsi="宋体" w:eastAsia="仿宋_GB2312" w:cs="宋体"/>
          <w:kern w:val="0"/>
          <w:lang w:eastAsia="zh-CN"/>
        </w:rPr>
        <w:t>）</w:t>
      </w:r>
    </w:p>
    <w:p>
      <w:pPr>
        <w:spacing w:line="267" w:lineRule="auto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ind w:firstLine="880"/>
        <w:jc w:val="center"/>
        <w:textAlignment w:val="baseline"/>
        <w:rPr>
          <w:rFonts w:ascii="方正小标宋简体" w:hAnsi="宋体" w:eastAsia="方正小标宋简体" w:cs="宋体"/>
          <w:snapToGrid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Arial" w:eastAsia="方正小标宋简体" w:cs="Arial"/>
          <w:snapToGrid w:val="0"/>
          <w:color w:val="000000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 w:cs="Arial"/>
          <w:snapToGrid w:val="0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snapToGrid w:val="0"/>
          <w:color w:val="000000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hAnsi="Arial" w:eastAsia="方正小标宋简体" w:cs="Arial"/>
          <w:snapToGrid w:val="0"/>
          <w:color w:val="000000"/>
          <w:kern w:val="0"/>
          <w:sz w:val="44"/>
          <w:szCs w:val="44"/>
          <w:lang w:eastAsia="zh-CN"/>
        </w:rPr>
        <w:t>汨罗市城区电排河闸管理所</w:t>
      </w:r>
      <w:r>
        <w:rPr>
          <w:rFonts w:hint="eastAsia" w:ascii="方正小标宋简体" w:hAnsi="宋体" w:eastAsia="方正小标宋简体" w:cs="宋体"/>
          <w:snapToGrid w:val="0"/>
          <w:color w:val="000000"/>
          <w:kern w:val="0"/>
          <w:sz w:val="44"/>
          <w:szCs w:val="44"/>
          <w:lang w:eastAsia="zh-CN"/>
        </w:rPr>
        <w:t>部门</w:t>
      </w:r>
      <w:r>
        <w:rPr>
          <w:rFonts w:hint="eastAsia" w:ascii="方正小标宋简体" w:hAnsi="Arial" w:eastAsia="方正小标宋简体" w:cs="Arial"/>
          <w:snapToGrid w:val="0"/>
          <w:color w:val="000000"/>
          <w:kern w:val="0"/>
          <w:sz w:val="44"/>
          <w:szCs w:val="44"/>
          <w:lang w:eastAsia="zh-CN"/>
        </w:rPr>
        <w:t>(</w:t>
      </w:r>
      <w:r>
        <w:rPr>
          <w:rFonts w:hint="eastAsia" w:ascii="方正小标宋简体" w:hAnsi="宋体" w:eastAsia="方正小标宋简体" w:cs="宋体"/>
          <w:snapToGrid w:val="0"/>
          <w:color w:val="000000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hAnsi="Arial" w:eastAsia="方正小标宋简体" w:cs="Arial"/>
          <w:snapToGrid w:val="0"/>
          <w:color w:val="000000"/>
          <w:kern w:val="0"/>
          <w:sz w:val="44"/>
          <w:szCs w:val="44"/>
          <w:lang w:eastAsia="zh-CN"/>
        </w:rPr>
        <w:t>)</w:t>
      </w:r>
      <w:r>
        <w:rPr>
          <w:rFonts w:hint="eastAsia" w:ascii="方正小标宋简体" w:hAnsi="宋体" w:eastAsia="方正小标宋简体" w:cs="宋体"/>
          <w:snapToGrid w:val="0"/>
          <w:color w:val="000000"/>
          <w:kern w:val="0"/>
          <w:sz w:val="44"/>
          <w:szCs w:val="44"/>
          <w:lang w:eastAsia="zh-CN"/>
        </w:rPr>
        <w:t>整体支出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ind w:firstLine="880"/>
        <w:jc w:val="center"/>
        <w:textAlignment w:val="baseline"/>
        <w:rPr>
          <w:rFonts w:ascii="方正小标宋简体" w:hAnsi="Arial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snapToGrid w:val="0"/>
          <w:color w:val="000000"/>
          <w:kern w:val="0"/>
          <w:sz w:val="44"/>
          <w:szCs w:val="44"/>
          <w:lang w:eastAsia="zh-CN"/>
        </w:rPr>
        <w:t>绩效自评报告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kern w:val="0"/>
          <w:sz w:val="32"/>
          <w:szCs w:val="32"/>
          <w:u w:val="single"/>
          <w:lang w:val="en-US" w:eastAsia="zh-CN" w:bidi="ar-SA"/>
        </w:rPr>
        <w:t>(盖章)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74" w:line="225" w:lineRule="auto"/>
        <w:ind w:firstLine="617"/>
        <w:jc w:val="center"/>
        <w:textAlignment w:val="baseline"/>
        <w:rPr>
          <w:rFonts w:ascii="楷体_GB2312" w:hAnsi="楷体" w:eastAsia="楷体_GB2312" w:cs="楷体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napToGrid w:val="0"/>
          <w:color w:val="000000"/>
          <w:spacing w:val="-13"/>
          <w:kern w:val="0"/>
          <w:sz w:val="32"/>
          <w:szCs w:val="32"/>
          <w:lang w:eastAsia="zh-CN"/>
        </w:rPr>
        <w:t xml:space="preserve">年   </w:t>
      </w:r>
      <w:r>
        <w:rPr>
          <w:rFonts w:hint="eastAsia" w:ascii="楷体_GB2312" w:hAnsi="楷体" w:eastAsia="楷体_GB2312" w:cs="楷体"/>
          <w:snapToGrid w:val="0"/>
          <w:color w:val="000000"/>
          <w:spacing w:val="-13"/>
          <w:kern w:val="0"/>
          <w:sz w:val="32"/>
          <w:szCs w:val="32"/>
          <w:lang w:eastAsia="zh-CN"/>
        </w:rPr>
        <w:t xml:space="preserve">月    </w:t>
      </w:r>
      <w:r>
        <w:rPr>
          <w:rFonts w:hint="eastAsia" w:ascii="楷体_GB2312" w:hAnsi="楷体" w:eastAsia="楷体_GB2312" w:cs="楷体"/>
          <w:b/>
          <w:bCs/>
          <w:snapToGrid w:val="0"/>
          <w:color w:val="000000"/>
          <w:spacing w:val="-13"/>
          <w:kern w:val="0"/>
          <w:sz w:val="32"/>
          <w:szCs w:val="32"/>
          <w:lang w:eastAsia="zh-CN"/>
        </w:rPr>
        <w:t>日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kern w:val="0"/>
          <w:sz w:val="30"/>
          <w:szCs w:val="30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kern w:val="0"/>
          <w:sz w:val="30"/>
          <w:szCs w:val="30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kern w:val="0"/>
          <w:sz w:val="30"/>
          <w:szCs w:val="30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宋体" w:hAnsi="宋体" w:eastAsia="宋体" w:cs="Arial"/>
          <w:snapToGrid w:val="0"/>
          <w:color w:val="000000"/>
          <w:kern w:val="0"/>
          <w:sz w:val="18"/>
          <w:szCs w:val="18"/>
          <w:lang w:val="en-US" w:eastAsia="zh-CN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18"/>
          <w:kern w:val="0"/>
          <w:sz w:val="30"/>
          <w:szCs w:val="30"/>
          <w:lang w:val="en-US" w:eastAsia="zh-CN" w:bidi="ar-SA"/>
        </w:rPr>
        <w:t>(此页为封面)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30" w:line="221" w:lineRule="auto"/>
        <w:jc w:val="center"/>
        <w:textAlignment w:val="baseline"/>
        <w:rPr>
          <w:rFonts w:ascii="黑体" w:hAnsi="黑体" w:eastAsia="黑体" w:cs="黑体"/>
          <w:snapToGrid w:val="0"/>
          <w:color w:val="000000"/>
          <w:spacing w:val="16"/>
          <w:kern w:val="0"/>
          <w:sz w:val="40"/>
          <w:szCs w:val="40"/>
          <w:lang w:eastAsia="en-US"/>
        </w:rPr>
      </w:pPr>
      <w:r>
        <w:rPr>
          <w:rFonts w:ascii="黑体" w:hAnsi="黑体" w:eastAsia="黑体" w:cs="黑体"/>
          <w:snapToGrid w:val="0"/>
          <w:color w:val="000000"/>
          <w:spacing w:val="16"/>
          <w:kern w:val="0"/>
          <w:sz w:val="40"/>
          <w:szCs w:val="40"/>
          <w:lang w:eastAsia="en-US"/>
        </w:rPr>
        <w:t>202</w:t>
      </w:r>
      <w:r>
        <w:rPr>
          <w:rFonts w:hint="eastAsia" w:ascii="黑体" w:hAnsi="黑体" w:eastAsia="黑体" w:cs="黑体"/>
          <w:snapToGrid w:val="0"/>
          <w:color w:val="000000"/>
          <w:spacing w:val="16"/>
          <w:kern w:val="0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napToGrid w:val="0"/>
          <w:color w:val="000000"/>
          <w:spacing w:val="16"/>
          <w:kern w:val="0"/>
          <w:sz w:val="40"/>
          <w:szCs w:val="40"/>
          <w:lang w:eastAsia="en-US"/>
        </w:rPr>
        <w:t>年度</w:t>
      </w:r>
      <w:r>
        <w:rPr>
          <w:rFonts w:hint="eastAsia" w:ascii="黑体" w:hAnsi="黑体" w:eastAsia="黑体" w:cs="黑体"/>
          <w:snapToGrid w:val="0"/>
          <w:color w:val="000000"/>
          <w:spacing w:val="16"/>
          <w:kern w:val="0"/>
          <w:sz w:val="40"/>
          <w:szCs w:val="40"/>
          <w:lang w:eastAsia="zh-CN"/>
        </w:rPr>
        <w:t>汨罗市城区电排河闸管理所</w:t>
      </w:r>
      <w:r>
        <w:rPr>
          <w:rFonts w:ascii="黑体" w:hAnsi="黑体" w:eastAsia="黑体" w:cs="黑体"/>
          <w:snapToGrid w:val="0"/>
          <w:color w:val="000000"/>
          <w:spacing w:val="16"/>
          <w:kern w:val="0"/>
          <w:sz w:val="40"/>
          <w:szCs w:val="40"/>
          <w:lang w:eastAsia="en-US"/>
        </w:rPr>
        <w:t>部门整体支出绩效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30" w:line="221" w:lineRule="auto"/>
        <w:jc w:val="center"/>
        <w:textAlignment w:val="baseline"/>
        <w:rPr>
          <w:rFonts w:ascii="黑体" w:hAnsi="黑体" w:eastAsia="黑体" w:cs="黑体"/>
          <w:snapToGrid w:val="0"/>
          <w:color w:val="000000"/>
          <w:kern w:val="0"/>
          <w:sz w:val="40"/>
          <w:szCs w:val="40"/>
          <w:lang w:eastAsia="en-US"/>
        </w:rPr>
      </w:pPr>
      <w:r>
        <w:rPr>
          <w:rFonts w:ascii="黑体" w:hAnsi="黑体" w:eastAsia="黑体" w:cs="黑体"/>
          <w:snapToGrid w:val="0"/>
          <w:color w:val="000000"/>
          <w:spacing w:val="-24"/>
          <w:kern w:val="0"/>
          <w:position w:val="20"/>
          <w:sz w:val="40"/>
          <w:szCs w:val="40"/>
          <w:lang w:eastAsia="en-US"/>
        </w:rPr>
        <w:t>自</w:t>
      </w:r>
      <w:r>
        <w:rPr>
          <w:rFonts w:ascii="黑体" w:hAnsi="黑体" w:eastAsia="黑体" w:cs="黑体"/>
          <w:snapToGrid w:val="0"/>
          <w:color w:val="000000"/>
          <w:spacing w:val="82"/>
          <w:kern w:val="0"/>
          <w:position w:val="20"/>
          <w:sz w:val="40"/>
          <w:szCs w:val="40"/>
          <w:lang w:eastAsia="en-US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-24"/>
          <w:kern w:val="0"/>
          <w:position w:val="20"/>
          <w:sz w:val="40"/>
          <w:szCs w:val="40"/>
          <w:lang w:eastAsia="en-US"/>
        </w:rPr>
        <w:t>评</w:t>
      </w:r>
      <w:r>
        <w:rPr>
          <w:rFonts w:ascii="黑体" w:hAnsi="黑体" w:eastAsia="黑体" w:cs="黑体"/>
          <w:snapToGrid w:val="0"/>
          <w:color w:val="000000"/>
          <w:spacing w:val="79"/>
          <w:kern w:val="0"/>
          <w:position w:val="20"/>
          <w:sz w:val="40"/>
          <w:szCs w:val="40"/>
          <w:lang w:eastAsia="en-US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-24"/>
          <w:kern w:val="0"/>
          <w:position w:val="20"/>
          <w:sz w:val="40"/>
          <w:szCs w:val="40"/>
          <w:lang w:eastAsia="en-US"/>
        </w:rPr>
        <w:t>报</w:t>
      </w:r>
      <w:r>
        <w:rPr>
          <w:rFonts w:ascii="黑体" w:hAnsi="黑体" w:eastAsia="黑体" w:cs="黑体"/>
          <w:snapToGrid w:val="0"/>
          <w:color w:val="000000"/>
          <w:spacing w:val="87"/>
          <w:kern w:val="0"/>
          <w:position w:val="20"/>
          <w:sz w:val="40"/>
          <w:szCs w:val="40"/>
          <w:lang w:eastAsia="en-US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-24"/>
          <w:kern w:val="0"/>
          <w:position w:val="20"/>
          <w:sz w:val="40"/>
          <w:szCs w:val="40"/>
          <w:lang w:eastAsia="en-US"/>
        </w:rPr>
        <w:t>告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kern w:val="0"/>
          <w:sz w:val="30"/>
          <w:szCs w:val="30"/>
          <w:lang w:val="en-US" w:eastAsia="zh-CN" w:bidi="ar-SA"/>
        </w:rPr>
      </w:pP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kern w:val="0"/>
          <w:sz w:val="32"/>
          <w:szCs w:val="32"/>
          <w:lang w:val="en-US" w:eastAsia="zh-CN" w:bidi="ar-SA"/>
        </w:rPr>
        <w:t>部门</w:t>
      </w:r>
      <w:r>
        <w:rPr>
          <w:rFonts w:ascii="方正黑体_GBK" w:hAnsi="仿宋" w:eastAsia="方正黑体_GBK" w:cs="仿宋"/>
          <w:snapToGrid w:val="0"/>
          <w:color w:val="000000"/>
          <w:kern w:val="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kern w:val="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kern w:val="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kern w:val="0"/>
          <w:sz w:val="32"/>
          <w:szCs w:val="32"/>
          <w:lang w:val="en-US" w:eastAsia="zh-CN" w:bidi="ar-SA"/>
        </w:rPr>
        <w:t>基本情况</w:t>
      </w:r>
    </w:p>
    <w:p>
      <w:pPr>
        <w:widowControl w:val="0"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汨罗市城区电排河闸管理所主管全市涉水事务，指挥城区防汛排渍、减轻灾害损失、负责城区防洪排渍工作、维护城区电排正常运行、负责汨罗江拦河闸工程的运行、维护、调度等日常管理工作负责保障水资源的合理开发利用。现有人数28人，其中：在职28人，退休14人，公务用车编制数0辆，实有数0辆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二、一般公共预算支出情况</w:t>
      </w:r>
    </w:p>
    <w:p>
      <w:pPr>
        <w:widowControl w:val="0"/>
        <w:kinsoku w:val="0"/>
        <w:autoSpaceDE w:val="0"/>
        <w:autoSpaceDN w:val="0"/>
        <w:adjustRightInd w:val="0"/>
        <w:snapToGrid w:val="0"/>
        <w:spacing w:line="600" w:lineRule="exact"/>
        <w:ind w:firstLine="643" w:firstLineChars="200"/>
        <w:jc w:val="both"/>
        <w:textAlignment w:val="baseline"/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Arial"/>
          <w:b/>
          <w:snapToGrid w:val="0"/>
          <w:color w:val="000000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基本支出情况</w:t>
      </w:r>
    </w:p>
    <w:p>
      <w:pPr>
        <w:widowControl w:val="0"/>
        <w:kinsoku/>
        <w:autoSpaceDE/>
        <w:autoSpaceDN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基本支出：是指为保障部门机构正常运转、完成日常工作任务而发生的各项支出，包括用于基本工资、津贴补贴等人员经费以及办公费、印刷费、水电费、差旅费等日常公用经费。本单位2022年决算数基本支出333.35万元，其中人员经费支出301.5万元，公用支出31.85万元。</w:t>
      </w:r>
    </w:p>
    <w:p>
      <w:pPr>
        <w:widowControl w:val="0"/>
        <w:numPr>
          <w:ilvl w:val="0"/>
          <w:numId w:val="2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项目支出情况</w:t>
      </w:r>
    </w:p>
    <w:p>
      <w:pPr>
        <w:widowControl w:val="0"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jc w:val="both"/>
        <w:textAlignment w:val="baseline"/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项目支出：是指部门为完成特定行政工作任务或事业发展目标而发生的支出，包括有关业务工作经费、运行维护经费等。2022年本单位项目支出决算数为53.26万元，其中：本级资金城区电排及滨江拦河闸维修养护项目20万元</w:t>
      </w:r>
      <w:bookmarkStart w:id="0" w:name="_GoBack"/>
      <w:bookmarkEnd w:id="0"/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left="640" w:leftChars="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三、政府性基金预算支出情况</w:t>
      </w:r>
    </w:p>
    <w:p>
      <w:pPr>
        <w:widowControl w:val="0"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无政府性基金预算支出。</w:t>
      </w:r>
    </w:p>
    <w:p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国有资本经营预算支出情况</w:t>
      </w:r>
    </w:p>
    <w:p>
      <w:pPr>
        <w:widowControl w:val="0"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无国有资本经营预算支出。</w:t>
      </w:r>
    </w:p>
    <w:p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社会保险基金预算支出情况</w:t>
      </w:r>
    </w:p>
    <w:p>
      <w:pPr>
        <w:widowControl w:val="0"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无社会保险基金预算支出。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六、部门整体支出绩效情况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产出指标完成情况</w:t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1、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数量指标，中型水库防汛监管8座，包含小桥湖机埠、百丈机埠、拦河闸机埠、涂家套机埠、友谊河、二中路机埠等，汨罗江拦河坝。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default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2、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质量指标，无重大安全事故。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default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3、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时效指标，绩效时效覆盖全年范围，年内完成各项任务。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效益指标完成情况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 xml:space="preserve">    1、 经济效益：维护人民财产安全。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 xml:space="preserve">    2、社会效益：维护人民生活安全。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 xml:space="preserve">    3、 生态效益：对自然环境未造成负面影响。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4、可持续影响指标：促进了环境的可持续影响。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满意度指标完成情况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服务对象满意度指标：群众满意度达95%。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成本指标完成情况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经济成本指标：控制在预算范围内。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社会成本指标：保护了人民的财产安全。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生态环境成本指标：对生态环境无负面影响。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本单位严格按照年初制定的各项指标，较好的完成了本年的绩效任务。完成汨罗市城区防汛排渍，全年推进河湖面貌根本好转，守护好一江碧水，建设更高品质生态文化活力汨罗，完成了河湖划界管理工作河流8条，保障汨罗市滨江拦河闸的管理运行及维护，解决城市防洪排涝，保障我市防汛物资的采购、储备、管理、维护工作，确保我市安全度汛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宋体" w:hAnsi="宋体" w:eastAsia="宋体" w:cs="宋体"/>
          <w:snapToGrid/>
          <w:kern w:val="0"/>
          <w:sz w:val="24"/>
          <w:szCs w:val="24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七、存在的问题及原因分析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 xml:space="preserve">由于项目前期工作涉及发改、财政、国土、规划、环保等多个部门，审批手续繁琐。国家对一些特定程序的法定时间有明确规定，必须严格按照法律规定的时间来开展项目前期工作，在时间紧任务重的情况下，在部分环节的协调上存在不顺畅的情况，工作的开展难度较大，影响到项目前期工作的进展。 </w:t>
      </w:r>
    </w:p>
    <w:p>
      <w:pPr>
        <w:widowControl/>
        <w:numPr>
          <w:ilvl w:val="0"/>
          <w:numId w:val="4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下一步改进措施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1、增加水利前期工作经费。水利前期工作是水利项目建设的重要阶段，及时、足额的前期工作经费是开展规划设计、立项申报、项目储备等前期工作的重要保障。由于市财政资金极为紧张，项目前期工作经费和地方配套资金难以及时配套到位，一些项目甚至完全没有地方配套资金，导致项目因资金紧张推动困难，同时严重影响项目前期工作的开展和项目后期的申报评定工作。市人民政府、发改委、财政局在积极向国家和省争取水利项目前期工作经费的前提下，给予在年度财政预算中安排更多的水利项目前期工作专项经费，建立前期工作经费滚动使用机制。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 xml:space="preserve">2、吃透政策，科学谋划。围绕发展建设幸福汨罗，结合地方经济长期发展的需要，吃透政策，领会精神，对我市涉农水利规划进行再梳理、再衔接、再调整，超前谋划了一批水利项目。 </w:t>
      </w:r>
    </w:p>
    <w:p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/>
        </w:rPr>
        <w:t>3、建议给予适当增加水利相关岗位人员编制，重视项目人才引进、培养、管理等工作，抓好项目工作队伍建设，不断充实和壮大水利干部队伍。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  <w:t>九、部门整体支出绩效自评结果拟应用和公开情况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hAnsi="Arial" w:eastAsia="方正黑体_GBK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整体绩效评价已经应用于下一年预算编制考核要素。自评结果也和部门决算数据一并在政府平台公开。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黑体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Arial" w:hAnsi="Arial" w:eastAsia="黑体" w:cs="Arial"/>
          <w:snapToGrid w:val="0"/>
          <w:color w:val="000000"/>
          <w:kern w:val="0"/>
          <w:sz w:val="32"/>
          <w:szCs w:val="32"/>
          <w:lang w:eastAsia="zh-CN"/>
        </w:rPr>
        <w:t>十、其他需要说明的情况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黑体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eastAsia="黑体" w:cs="Arial"/>
          <w:snapToGrid w:val="0"/>
          <w:color w:val="000000"/>
          <w:kern w:val="0"/>
          <w:sz w:val="32"/>
          <w:szCs w:val="32"/>
          <w:lang w:eastAsia="zh-CN"/>
        </w:rPr>
        <w:t>无。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报告需要以下附件：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1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、部门整体支出绩效评价基础数据表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2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、部门整体支出绩效自评表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3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、项目支出绩效自评表（每个一级项目支出一张表）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4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、政府性基金预算支出情况表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5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、国有资本经营预算支出情况表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6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  <w:t>、社会保险基金预算支出情况表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eastAsia="zh-CN"/>
        </w:rPr>
      </w:pPr>
    </w:p>
    <w:p>
      <w:pPr>
        <w:widowControl w:val="0"/>
        <w:numPr>
          <w:ilvl w:val="0"/>
          <w:numId w:val="5"/>
        </w:numPr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Calibri" w:hAnsi="Calibri" w:eastAsia="宋体" w:cs="Times New Roman"/>
          <w:snapToGrid/>
          <w:kern w:val="2"/>
          <w:szCs w:val="24"/>
          <w:lang w:val="en-US"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267" w:lineRule="auto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67" w:lineRule="auto"/>
        <w:ind w:firstLine="552"/>
        <w:jc w:val="both"/>
        <w:textAlignment w:val="baseline"/>
        <w:rPr>
          <w:rFonts w:ascii="宋体" w:hAnsi="宋体" w:eastAsia="宋体" w:cs="宋体"/>
          <w:bCs/>
          <w:snapToGrid w:val="0"/>
          <w:color w:val="000000"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napToGrid w:val="0"/>
          <w:color w:val="000000"/>
          <w:spacing w:val="-4"/>
          <w:kern w:val="0"/>
          <w:sz w:val="28"/>
          <w:szCs w:val="28"/>
          <w:lang w:val="en-US" w:eastAsia="zh-CN"/>
        </w:rPr>
        <w:t>5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01" w:line="578" w:lineRule="exact"/>
        <w:jc w:val="center"/>
        <w:textAlignment w:val="baseline"/>
        <w:rPr>
          <w:rFonts w:ascii="黑体" w:hAnsi="黑体" w:eastAsia="黑体" w:cs="黑体"/>
          <w:snapToGrid w:val="0"/>
          <w:color w:val="000000"/>
          <w:spacing w:val="15"/>
          <w:kern w:val="0"/>
          <w:position w:val="10"/>
          <w:sz w:val="36"/>
          <w:szCs w:val="36"/>
          <w:lang w:eastAsia="en-US"/>
        </w:rPr>
      </w:pPr>
      <w:r>
        <w:rPr>
          <w:rFonts w:ascii="Times New Roman" w:hAnsi="Times New Roman" w:eastAsia="Times New Roman" w:cs="Times New Roman"/>
          <w:snapToGrid w:val="0"/>
          <w:color w:val="000000"/>
          <w:spacing w:val="15"/>
          <w:kern w:val="0"/>
          <w:position w:val="10"/>
          <w:sz w:val="36"/>
          <w:szCs w:val="36"/>
          <w:lang w:eastAsia="en-US"/>
        </w:rPr>
        <w:t>202</w:t>
      </w:r>
      <w:r>
        <w:rPr>
          <w:rFonts w:hint="eastAsia" w:ascii="Times New Roman" w:hAnsi="Times New Roman" w:eastAsia="宋体" w:cs="Times New Roman"/>
          <w:snapToGrid w:val="0"/>
          <w:color w:val="000000"/>
          <w:spacing w:val="15"/>
          <w:kern w:val="0"/>
          <w:position w:val="10"/>
          <w:sz w:val="36"/>
          <w:szCs w:val="36"/>
          <w:lang w:val="en-US" w:eastAsia="zh-CN"/>
        </w:rPr>
        <w:t>2</w:t>
      </w:r>
      <w:r>
        <w:rPr>
          <w:rFonts w:ascii="黑体" w:hAnsi="黑体" w:eastAsia="黑体" w:cs="黑体"/>
          <w:snapToGrid w:val="0"/>
          <w:color w:val="000000"/>
          <w:spacing w:val="15"/>
          <w:kern w:val="0"/>
          <w:position w:val="10"/>
          <w:sz w:val="36"/>
          <w:szCs w:val="36"/>
          <w:lang w:eastAsia="en-US"/>
        </w:rPr>
        <w:t>年度</w:t>
      </w:r>
      <w:r>
        <w:rPr>
          <w:rFonts w:hint="eastAsia" w:ascii="黑体" w:hAnsi="黑体" w:eastAsia="黑体" w:cs="黑体"/>
          <w:snapToGrid w:val="0"/>
          <w:color w:val="000000"/>
          <w:spacing w:val="15"/>
          <w:kern w:val="0"/>
          <w:position w:val="10"/>
          <w:sz w:val="36"/>
          <w:szCs w:val="36"/>
          <w:lang w:eastAsia="zh-CN"/>
        </w:rPr>
        <w:t>汨罗市城区电排河闸管理所</w:t>
      </w:r>
      <w:r>
        <w:rPr>
          <w:rFonts w:ascii="黑体" w:hAnsi="黑体" w:eastAsia="黑体" w:cs="黑体"/>
          <w:snapToGrid w:val="0"/>
          <w:color w:val="000000"/>
          <w:spacing w:val="15"/>
          <w:kern w:val="0"/>
          <w:position w:val="10"/>
          <w:sz w:val="36"/>
          <w:szCs w:val="36"/>
          <w:lang w:eastAsia="en-US"/>
        </w:rPr>
        <w:t>项目支出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01" w:line="578" w:lineRule="exact"/>
        <w:jc w:val="center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6"/>
          <w:szCs w:val="36"/>
          <w:lang w:eastAsia="en-US"/>
        </w:rPr>
      </w:pPr>
      <w:r>
        <w:rPr>
          <w:rFonts w:ascii="黑体" w:hAnsi="黑体" w:eastAsia="黑体" w:cs="黑体"/>
          <w:snapToGrid w:val="0"/>
          <w:color w:val="000000"/>
          <w:spacing w:val="10"/>
          <w:kern w:val="0"/>
          <w:sz w:val="36"/>
          <w:szCs w:val="36"/>
          <w:lang w:eastAsia="en-US"/>
        </w:rPr>
        <w:t>绩效自评报告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 w:val="0"/>
        <w:kinsoku w:val="0"/>
        <w:autoSpaceDE w:val="0"/>
        <w:autoSpaceDN w:val="0"/>
        <w:adjustRightInd w:val="0"/>
        <w:snapToGrid w:val="0"/>
        <w:spacing w:before="89" w:line="221" w:lineRule="auto"/>
        <w:ind w:left="227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lang w:val="en-US" w:eastAsia="en-US" w:bidi="ar-SA"/>
        </w:rPr>
        <w:t>部 门 ( 单</w:t>
      </w:r>
      <w:r>
        <w:rPr>
          <w:rFonts w:ascii="仿宋" w:hAnsi="仿宋" w:eastAsia="仿宋" w:cs="仿宋"/>
          <w:snapToGrid w:val="0"/>
          <w:color w:val="000000"/>
          <w:spacing w:val="-19"/>
          <w:kern w:val="0"/>
          <w:sz w:val="27"/>
          <w:szCs w:val="27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lang w:val="en-US" w:eastAsia="en-US" w:bidi="ar-SA"/>
        </w:rPr>
        <w:t>位</w:t>
      </w:r>
      <w:r>
        <w:rPr>
          <w:rFonts w:ascii="仿宋" w:hAnsi="仿宋" w:eastAsia="仿宋" w:cs="仿宋"/>
          <w:snapToGrid w:val="0"/>
          <w:color w:val="000000"/>
          <w:spacing w:val="-43"/>
          <w:kern w:val="0"/>
          <w:sz w:val="27"/>
          <w:szCs w:val="27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lang w:val="en-US" w:eastAsia="en-US" w:bidi="ar-SA"/>
        </w:rPr>
        <w:t>)</w:t>
      </w:r>
      <w:r>
        <w:rPr>
          <w:rFonts w:ascii="仿宋" w:hAnsi="仿宋" w:eastAsia="仿宋" w:cs="仿宋"/>
          <w:snapToGrid w:val="0"/>
          <w:color w:val="000000"/>
          <w:spacing w:val="-36"/>
          <w:kern w:val="0"/>
          <w:sz w:val="27"/>
          <w:szCs w:val="27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lang w:val="en-US" w:eastAsia="en-US" w:bidi="ar-SA"/>
        </w:rPr>
        <w:t>名</w:t>
      </w:r>
      <w:r>
        <w:rPr>
          <w:rFonts w:ascii="仿宋" w:hAnsi="仿宋" w:eastAsia="仿宋" w:cs="仿宋"/>
          <w:snapToGrid w:val="0"/>
          <w:color w:val="000000"/>
          <w:spacing w:val="-37"/>
          <w:kern w:val="0"/>
          <w:sz w:val="27"/>
          <w:szCs w:val="27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lang w:val="en-US" w:eastAsia="en-US" w:bidi="ar-SA"/>
        </w:rPr>
        <w:t>称</w:t>
      </w:r>
      <w:r>
        <w:rPr>
          <w:rFonts w:ascii="仿宋" w:hAnsi="仿宋" w:eastAsia="仿宋" w:cs="仿宋"/>
          <w:snapToGrid w:val="0"/>
          <w:color w:val="000000"/>
          <w:spacing w:val="-54"/>
          <w:kern w:val="0"/>
          <w:sz w:val="27"/>
          <w:szCs w:val="27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lang w:val="en-US" w:eastAsia="en-US" w:bidi="ar-SA"/>
        </w:rPr>
        <w:t>：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u w:val="single" w:color="auto"/>
          <w:lang w:val="en-US" w:eastAsia="en-US" w:bidi="ar-SA"/>
        </w:rPr>
        <w:t xml:space="preserve">   (</w:t>
      </w:r>
      <w:r>
        <w:rPr>
          <w:rFonts w:ascii="仿宋" w:hAnsi="仿宋" w:eastAsia="仿宋" w:cs="仿宋"/>
          <w:snapToGrid w:val="0"/>
          <w:color w:val="000000"/>
          <w:spacing w:val="68"/>
          <w:kern w:val="0"/>
          <w:sz w:val="27"/>
          <w:szCs w:val="27"/>
          <w:u w:val="single" w:color="auto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u w:val="single" w:color="auto"/>
          <w:lang w:val="en-US" w:eastAsia="en-US" w:bidi="ar-SA"/>
        </w:rPr>
        <w:t>盖</w:t>
      </w:r>
      <w:r>
        <w:rPr>
          <w:rFonts w:ascii="仿宋" w:hAnsi="仿宋" w:eastAsia="仿宋" w:cs="仿宋"/>
          <w:snapToGrid w:val="0"/>
          <w:color w:val="000000"/>
          <w:spacing w:val="64"/>
          <w:kern w:val="0"/>
          <w:sz w:val="27"/>
          <w:szCs w:val="27"/>
          <w:u w:val="single" w:color="auto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u w:val="single" w:color="auto"/>
          <w:lang w:val="en-US" w:eastAsia="en-US" w:bidi="ar-SA"/>
        </w:rPr>
        <w:t>章</w:t>
      </w:r>
      <w:r>
        <w:rPr>
          <w:rFonts w:ascii="仿宋" w:hAnsi="仿宋" w:eastAsia="仿宋" w:cs="仿宋"/>
          <w:snapToGrid w:val="0"/>
          <w:color w:val="000000"/>
          <w:spacing w:val="55"/>
          <w:kern w:val="0"/>
          <w:sz w:val="27"/>
          <w:szCs w:val="27"/>
          <w:u w:val="single" w:color="auto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2"/>
          <w:kern w:val="0"/>
          <w:sz w:val="27"/>
          <w:szCs w:val="27"/>
          <w:u w:val="single" w:color="auto"/>
          <w:lang w:val="en-US" w:eastAsia="en-US" w:bidi="ar-SA"/>
        </w:rPr>
        <w:t>)</w:t>
      </w:r>
      <w:r>
        <w:rPr>
          <w:rFonts w:ascii="仿宋" w:hAnsi="仿宋" w:eastAsia="仿宋" w:cs="仿宋"/>
          <w:snapToGrid w:val="0"/>
          <w:color w:val="000000"/>
          <w:kern w:val="0"/>
          <w:sz w:val="27"/>
          <w:szCs w:val="27"/>
          <w:u w:val="single" w:color="auto"/>
          <w:lang w:val="en-US" w:eastAsia="en-US" w:bidi="ar-SA"/>
        </w:rPr>
        <w:t xml:space="preserve">     </w:t>
      </w:r>
    </w:p>
    <w:p>
      <w:pPr>
        <w:widowControl w:val="0"/>
        <w:kinsoku w:val="0"/>
        <w:autoSpaceDE w:val="0"/>
        <w:autoSpaceDN w:val="0"/>
        <w:adjustRightInd w:val="0"/>
        <w:snapToGrid w:val="0"/>
        <w:spacing w:before="289" w:line="610" w:lineRule="exact"/>
        <w:ind w:left="34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3"/>
          <w:kern w:val="0"/>
          <w:position w:val="26"/>
          <w:sz w:val="27"/>
          <w:szCs w:val="27"/>
          <w:lang w:val="en-US" w:eastAsia="en-US" w:bidi="ar-SA"/>
        </w:rPr>
        <w:t>年   月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position w:val="26"/>
          <w:sz w:val="27"/>
          <w:szCs w:val="27"/>
          <w:lang w:val="en-US" w:eastAsia="en-US" w:bidi="ar-SA"/>
        </w:rPr>
        <w:t xml:space="preserve">   </w:t>
      </w:r>
      <w:r>
        <w:rPr>
          <w:rFonts w:ascii="仿宋" w:hAnsi="仿宋" w:eastAsia="仿宋" w:cs="仿宋"/>
          <w:snapToGrid w:val="0"/>
          <w:color w:val="000000"/>
          <w:spacing w:val="-13"/>
          <w:kern w:val="0"/>
          <w:position w:val="26"/>
          <w:sz w:val="27"/>
          <w:szCs w:val="27"/>
          <w:lang w:val="en-US" w:eastAsia="en-US" w:bidi="ar-SA"/>
        </w:rPr>
        <w:t>日</w:t>
      </w:r>
    </w:p>
    <w:p>
      <w:pPr>
        <w:widowControl w:val="0"/>
        <w:kinsoku w:val="0"/>
        <w:autoSpaceDE w:val="0"/>
        <w:autoSpaceDN w:val="0"/>
        <w:adjustRightInd w:val="0"/>
        <w:snapToGrid w:val="0"/>
        <w:spacing w:before="1" w:line="223" w:lineRule="auto"/>
        <w:ind w:left="356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24"/>
          <w:szCs w:val="24"/>
          <w:lang w:val="en-US" w:eastAsia="en-US" w:bidi="ar-SA"/>
        </w:rPr>
        <w:t>(此面为封面)</w:t>
      </w:r>
    </w:p>
    <w:p>
      <w:pPr>
        <w:spacing w:line="223" w:lineRule="auto"/>
        <w:rPr>
          <w:sz w:val="24"/>
          <w:szCs w:val="24"/>
        </w:rPr>
        <w:sectPr>
          <w:footerReference r:id="rId8" w:type="default"/>
          <w:pgSz w:w="11900" w:h="16820"/>
          <w:pgMar w:top="1429" w:right="1782" w:bottom="1158" w:left="1450" w:header="0" w:footer="850" w:gutter="0"/>
          <w:cols w:space="720" w:num="1"/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37" w:line="221" w:lineRule="auto"/>
        <w:ind w:left="2336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42"/>
          <w:szCs w:val="4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6"/>
          <w:kern w:val="0"/>
          <w:sz w:val="42"/>
          <w:szCs w:val="42"/>
          <w:lang w:eastAsia="en-US"/>
        </w:rPr>
        <w:t>项目支出绩效评价报告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90" w:line="227" w:lineRule="auto"/>
        <w:ind w:left="3670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31"/>
          <w:szCs w:val="31"/>
          <w:lang w:eastAsia="en-US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outlineLvl w:val="0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本单位无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30万以上项目，故无项目支出绩效报告。</w:t>
      </w:r>
    </w:p>
    <w:sectPr>
      <w:footerReference r:id="rId9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kern w:val="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>
    <w:pPr>
      <w:spacing w:line="14" w:lineRule="auto"/>
      <w:jc w:val="left"/>
      <w:rPr>
        <w:kern w:val="0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before="1" w:line="177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31"/>
        <w:szCs w:val="31"/>
        <w:lang w:eastAsia="en-US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0C2436"/>
    <w:multiLevelType w:val="singleLevel"/>
    <w:tmpl w:val="AA0C243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CA03F5F"/>
    <w:multiLevelType w:val="singleLevel"/>
    <w:tmpl w:val="0CA03F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4D1A6A2"/>
    <w:multiLevelType w:val="singleLevel"/>
    <w:tmpl w:val="44D1A6A2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A4E757F"/>
    <w:multiLevelType w:val="singleLevel"/>
    <w:tmpl w:val="5A4E75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DFCFB90"/>
    <w:multiLevelType w:val="singleLevel"/>
    <w:tmpl w:val="6DFCFB9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FkMzI4YzY5ZTE2NDkzOWU4OGFjYWJmMTBiOTdkZGQifQ=="/>
  </w:docVars>
  <w:rsids>
    <w:rsidRoot w:val="00000000"/>
    <w:rsid w:val="01AF3811"/>
    <w:rsid w:val="03795BF7"/>
    <w:rsid w:val="05CE7FAF"/>
    <w:rsid w:val="086E756B"/>
    <w:rsid w:val="0ACF37E5"/>
    <w:rsid w:val="0B400BC6"/>
    <w:rsid w:val="0C4F6D6B"/>
    <w:rsid w:val="0E68228D"/>
    <w:rsid w:val="15276E52"/>
    <w:rsid w:val="19D32FBC"/>
    <w:rsid w:val="1E6A4395"/>
    <w:rsid w:val="25557A3D"/>
    <w:rsid w:val="26EA5ED7"/>
    <w:rsid w:val="27A93B82"/>
    <w:rsid w:val="28DD22C7"/>
    <w:rsid w:val="2AE00186"/>
    <w:rsid w:val="308216BE"/>
    <w:rsid w:val="34FE1149"/>
    <w:rsid w:val="38E92533"/>
    <w:rsid w:val="3A550786"/>
    <w:rsid w:val="3A55788B"/>
    <w:rsid w:val="3B7A130F"/>
    <w:rsid w:val="4F8B6063"/>
    <w:rsid w:val="52FA3F96"/>
    <w:rsid w:val="55850F17"/>
    <w:rsid w:val="57AE6D93"/>
    <w:rsid w:val="5ABA0BE6"/>
    <w:rsid w:val="5FB623A7"/>
    <w:rsid w:val="5FD8496F"/>
    <w:rsid w:val="6E3851B0"/>
    <w:rsid w:val="729F2187"/>
    <w:rsid w:val="79F211C3"/>
    <w:rsid w:val="7DED2630"/>
    <w:rsid w:val="7ED67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9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3028</Words>
  <Characters>3254</Characters>
  <TotalTime>5</TotalTime>
  <ScaleCrop>false</ScaleCrop>
  <LinksUpToDate>false</LinksUpToDate>
  <CharactersWithSpaces>3424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Administrator</cp:lastModifiedBy>
  <cp:lastPrinted>2024-05-21T14:05:00Z</cp:lastPrinted>
  <dcterms:modified xsi:type="dcterms:W3CDTF">2024-07-10T03:03:28Z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2052-12.1.0.16929</vt:lpwstr>
  </property>
  <property fmtid="{D5CDD505-2E9C-101B-9397-08002B2CF9AE}" pid="6" name="ICV">
    <vt:lpwstr>515741C0B464420A993001908015B11F_13</vt:lpwstr>
  </property>
</Properties>
</file>