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left"/>
        <w:rPr>
          <w:rFonts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  <w:t>附件1</w:t>
      </w:r>
    </w:p>
    <w:p>
      <w:pPr>
        <w:spacing w:line="560" w:lineRule="exact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年度部门整体支出绩效评价基础</w:t>
      </w:r>
    </w:p>
    <w:p>
      <w:pPr>
        <w:spacing w:line="560" w:lineRule="exact"/>
        <w:ind w:firstLine="896"/>
        <w:jc w:val="center"/>
        <w:rPr>
          <w:rFonts w:ascii="方正小标宋简体" w:hAnsi="宋体" w:eastAsia="方正小标宋简体" w:cs="宋体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数据表</w:t>
      </w:r>
    </w:p>
    <w:p>
      <w:pPr>
        <w:spacing w:line="177" w:lineRule="exact"/>
        <w:ind w:firstLine="420"/>
        <w:jc w:val="left"/>
        <w:rPr>
          <w:kern w:val="0"/>
          <w:lang w:eastAsia="zh-CN"/>
        </w:rPr>
      </w:pPr>
    </w:p>
    <w:tbl>
      <w:tblPr>
        <w:tblStyle w:val="7"/>
        <w:tblW w:w="94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1"/>
        <w:gridCol w:w="1158"/>
        <w:gridCol w:w="958"/>
        <w:gridCol w:w="960"/>
        <w:gridCol w:w="1079"/>
        <w:gridCol w:w="1039"/>
        <w:gridCol w:w="9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财政供养人员情况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人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编制数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年实际在职人数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630" w:firstLineChars="30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控制率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18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15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84%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经费控制情况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</w:rPr>
              <w:t>年决算数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年预算数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年决算数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  <w:t>“</w:t>
            </w:r>
            <w:r>
              <w:rPr>
                <w:rFonts w:hint="eastAsia" w:ascii="仿宋_GB2312" w:hAnsi="宋体" w:eastAsia="仿宋_GB2312" w:cs="宋体"/>
                <w:kern w:val="0"/>
              </w:rPr>
              <w:t>三公</w:t>
            </w:r>
            <w:r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  <w:t>”</w:t>
            </w:r>
            <w:r>
              <w:rPr>
                <w:rFonts w:hint="eastAsia" w:ascii="仿宋_GB2312" w:hAnsi="宋体" w:eastAsia="仿宋_GB2312" w:cs="宋体"/>
                <w:kern w:val="0"/>
              </w:rPr>
              <w:t>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3.5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1.08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、公务用车购置和维护经费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840" w:firstLineChars="40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其中：公车购置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</w:rPr>
              <w:t>公车运行维护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、出国经费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</w:rPr>
              <w:t>、公务接待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3.5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1.08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项目支出：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</w:rPr>
              <w:t>、业务工作经费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、运行维护经费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、县级专项资金</w:t>
            </w:r>
          </w:p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一个专项一行</w:t>
            </w:r>
            <w:r>
              <w:rPr>
                <w:rFonts w:hint="eastAsia" w:ascii="仿宋_GB2312" w:eastAsia="仿宋_GB2312"/>
                <w:kern w:val="0"/>
                <w:lang w:eastAsia="zh-CN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117.73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50.71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（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1）非遗保护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50.71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（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2）群众文化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9.73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（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3）文化创作与保护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108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公用经费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26.07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24.83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41.15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其中：办公经费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23.67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19.58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32.83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</w:rPr>
              <w:t>水费、电费、差旅费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2.4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3.75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7.93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1050" w:firstLineChars="50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会议费、培训费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1.5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0.39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政府采购金额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116.39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70.7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部门基本支出预算调整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楼堂馆所控制情况</w:t>
            </w: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(202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年完工项目</w:t>
            </w:r>
            <w:r>
              <w:rPr>
                <w:rFonts w:hint="eastAsia" w:ascii="仿宋_GB2312" w:eastAsia="仿宋_GB2312"/>
                <w:kern w:val="0"/>
                <w:lang w:eastAsia="zh-CN"/>
              </w:rPr>
              <w:t>)</w:t>
            </w:r>
          </w:p>
        </w:tc>
        <w:tc>
          <w:tcPr>
            <w:tcW w:w="115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批复规模</w:t>
            </w:r>
            <w:r>
              <w:rPr>
                <w:rFonts w:hint="eastAsia" w:ascii="仿宋_GB2312" w:eastAsia="仿宋_GB2312"/>
                <w:kern w:val="0"/>
              </w:rPr>
              <w:t xml:space="preserve"> (m</w:t>
            </w:r>
            <w:r>
              <w:rPr>
                <w:rFonts w:hint="eastAsia" w:eastAsia="仿宋_GB2312"/>
                <w:kern w:val="0"/>
              </w:rPr>
              <w:t>²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5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实际规模</w:t>
            </w:r>
            <w:r>
              <w:rPr>
                <w:rFonts w:hint="eastAsia" w:ascii="仿宋_GB2312" w:eastAsia="仿宋_GB2312"/>
                <w:kern w:val="0"/>
              </w:rPr>
              <w:t>(m</w:t>
            </w:r>
            <w:r>
              <w:rPr>
                <w:rFonts w:hint="eastAsia" w:eastAsia="仿宋_GB2312"/>
                <w:kern w:val="0"/>
              </w:rPr>
              <w:t>²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60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规模控制率</w:t>
            </w:r>
          </w:p>
        </w:tc>
        <w:tc>
          <w:tcPr>
            <w:tcW w:w="107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预算投资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03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实际投资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4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投</w:t>
            </w:r>
            <w:r>
              <w:rPr>
                <w:rFonts w:hint="eastAsia" w:ascii="仿宋_GB2312" w:hAnsi="宋体" w:eastAsia="仿宋_GB2312" w:cs="宋体"/>
                <w:kern w:val="0"/>
              </w:rPr>
              <w:t>资概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算控</w:t>
            </w:r>
            <w:r>
              <w:rPr>
                <w:rFonts w:hint="eastAsia" w:ascii="仿宋_GB2312" w:hAnsi="宋体" w:eastAsia="仿宋_GB2312" w:cs="宋体"/>
                <w:kern w:val="0"/>
              </w:rPr>
              <w:t>制率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Merge w:val="continue"/>
            <w:tcBorders>
              <w:top w:val="nil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8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 w:cs="Arial"/>
                <w:snapToGrid w:val="0"/>
                <w:color w:val="00000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958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 w:cs="Arial"/>
                <w:snapToGrid w:val="0"/>
                <w:color w:val="00000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960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 w:cs="Arial"/>
                <w:snapToGrid w:val="0"/>
                <w:color w:val="00000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1079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 w:cs="Arial"/>
                <w:snapToGrid w:val="0"/>
                <w:color w:val="00000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1039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 w:cs="Arial"/>
                <w:snapToGrid w:val="0"/>
                <w:color w:val="00000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944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 w:cs="Arial"/>
                <w:snapToGrid w:val="0"/>
                <w:color w:val="000000"/>
                <w:sz w:val="21"/>
                <w:szCs w:val="21"/>
                <w:lang w:val="en-US" w:eastAsia="zh-CN" w:bidi="ar-SA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271" w:type="dxa"/>
            <w:vAlign w:val="center"/>
          </w:tcPr>
          <w:p>
            <w:pPr>
              <w:spacing w:before="128" w:line="201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ascii="仿宋_GB2312" w:hAnsi="宋体" w:eastAsia="仿宋_GB2312" w:cs="宋体"/>
                <w:kern w:val="0"/>
                <w:lang w:eastAsia="zh-CN"/>
              </w:rPr>
              <w:t>厉行节约保障措施</w:t>
            </w:r>
          </w:p>
        </w:tc>
        <w:tc>
          <w:tcPr>
            <w:tcW w:w="6138" w:type="dxa"/>
            <w:gridSpan w:val="6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18"/>
                <w:szCs w:val="18"/>
                <w:lang w:val="en-US" w:eastAsia="en-US" w:bidi="ar-SA"/>
              </w:rPr>
              <w:t>1.完善制度建设，从制度上控制不合理支出，达到节约的目的。</w:t>
            </w:r>
          </w:p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18"/>
                <w:szCs w:val="18"/>
                <w:lang w:val="en-US" w:eastAsia="en-US" w:bidi="ar-SA"/>
              </w:rPr>
              <w:t>2.加强财务管理，避免资源配置和利用的重复、无用、低效等浪费现象，合理分配基本支出经费，严格掌握预算经费的开支范围和标准，大力压缩维持性支出。</w:t>
            </w: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left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18"/>
                <w:szCs w:val="18"/>
                <w:lang w:val="en-US" w:eastAsia="en-US" w:bidi="ar-SA"/>
              </w:rPr>
              <w:t>3.加强对专项资金项目的监督管理，确保专款专用，合理开支。</w:t>
            </w:r>
          </w:p>
        </w:tc>
      </w:tr>
    </w:tbl>
    <w:p>
      <w:pPr>
        <w:spacing w:line="240" w:lineRule="auto"/>
        <w:jc w:val="left"/>
        <w:rPr>
          <w:rFonts w:ascii="仿宋_GB2312" w:eastAsia="仿宋_GB2312"/>
          <w:kern w:val="0"/>
          <w:sz w:val="24"/>
          <w:szCs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说明：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“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项目支出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”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需要填报基本支出以外的所有项目支出情况，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“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公用经费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”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填报基本支出中的一般商品和服务支出。</w:t>
      </w:r>
    </w:p>
    <w:p>
      <w:pPr>
        <w:kinsoku w:val="0"/>
        <w:autoSpaceDE w:val="0"/>
        <w:autoSpaceDN w:val="0"/>
        <w:adjustRightInd w:val="0"/>
        <w:snapToGrid w:val="0"/>
        <w:spacing w:before="65" w:line="228" w:lineRule="auto"/>
        <w:ind w:firstLine="102" w:firstLineChars="49"/>
        <w:textAlignment w:val="baseline"/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</w:pP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填表人：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陈雅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填报日期：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2024.07.09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联系电话：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13548915166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 单位负责人签字：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周海燕</w:t>
      </w:r>
    </w:p>
    <w:p>
      <w:pPr>
        <w:spacing w:line="228" w:lineRule="auto"/>
        <w:ind w:firstLine="400"/>
        <w:rPr>
          <w:rFonts w:eastAsiaTheme="minorEastAsia"/>
          <w:sz w:val="20"/>
          <w:szCs w:val="20"/>
          <w:lang w:eastAsia="zh-CN"/>
        </w:rPr>
        <w:sectPr>
          <w:footerReference r:id="rId5" w:type="default"/>
          <w:footerReference r:id="rId6" w:type="even"/>
          <w:pgSz w:w="11907" w:h="16839"/>
          <w:pgMar w:top="2098" w:right="1474" w:bottom="1985" w:left="1474" w:header="0" w:footer="1588" w:gutter="0"/>
          <w:pgNumType w:fmt="numberInDash"/>
          <w:cols w:space="720" w:num="1"/>
          <w:titlePg/>
          <w:docGrid w:linePitch="286" w:charSpace="0"/>
        </w:sectPr>
      </w:pPr>
    </w:p>
    <w:p>
      <w:pPr>
        <w:spacing w:before="117" w:line="219" w:lineRule="auto"/>
        <w:ind w:firstLine="616"/>
        <w:jc w:val="left"/>
        <w:rPr>
          <w:rFonts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  <w:t>附件2</w:t>
      </w:r>
    </w:p>
    <w:p>
      <w:pPr>
        <w:spacing w:before="117" w:line="219" w:lineRule="auto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年度部门整体支出绩效自评表</w:t>
      </w:r>
    </w:p>
    <w:p>
      <w:pPr>
        <w:spacing w:line="237" w:lineRule="exact"/>
        <w:ind w:firstLine="420"/>
        <w:jc w:val="left"/>
        <w:rPr>
          <w:kern w:val="0"/>
          <w:lang w:eastAsia="zh-CN"/>
        </w:rPr>
      </w:pPr>
    </w:p>
    <w:tbl>
      <w:tblPr>
        <w:tblStyle w:val="7"/>
        <w:tblW w:w="9979" w:type="dxa"/>
        <w:tblInd w:w="-7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1069"/>
        <w:gridCol w:w="1029"/>
        <w:gridCol w:w="1249"/>
        <w:gridCol w:w="1298"/>
        <w:gridCol w:w="1269"/>
        <w:gridCol w:w="699"/>
        <w:gridCol w:w="869"/>
        <w:gridCol w:w="14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07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预算部门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名称</w:t>
            </w:r>
          </w:p>
        </w:tc>
        <w:tc>
          <w:tcPr>
            <w:tcW w:w="8905" w:type="dxa"/>
            <w:gridSpan w:val="8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年度预算申请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098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年初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预算数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全年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预算数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全年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执行数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分值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执行率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年度资金总额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171.69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231.83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231.83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100%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按收入性质分：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按支出性质分：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其中：一般公共预算：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231.83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其中：基本支出：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181.12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政府性基金拨款：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0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项目支出：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50.71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纳入专户管理的非税收入拨款：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0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其他资金：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0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年度总体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</w:rPr>
              <w:t>目标</w:t>
            </w: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预期目标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eastAsia"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目标1：举办各项群众文艺活动15场；举办送书画进万家活动15余场</w:t>
            </w:r>
          </w:p>
          <w:p>
            <w:pPr>
              <w:spacing w:line="240" w:lineRule="auto"/>
              <w:ind w:firstLine="420"/>
              <w:jc w:val="left"/>
              <w:rPr>
                <w:rFonts w:hint="eastAsia"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目标2：开展各类文化研讨会3场，组织开展非遗项目展演十余次，开展非遗进校园、举办非遗培训班。</w:t>
            </w:r>
          </w:p>
          <w:p>
            <w:pPr>
              <w:spacing w:line="240" w:lineRule="auto"/>
              <w:ind w:firstLine="420"/>
              <w:jc w:val="left"/>
              <w:rPr>
                <w:rFonts w:hint="eastAsia"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目标3：开展“社会主义核心价值观”广场舞培训班、“我为群众办实事”技艺课、美术、书画培训班5600余人次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所</w:t>
            </w:r>
            <w:r>
              <w:rPr>
                <w:rFonts w:hint="eastAsia" w:ascii="仿宋_GB2312" w:eastAsia="仿宋_GB2312"/>
                <w:kern w:val="0"/>
                <w:lang w:eastAsia="zh-CN"/>
              </w:rPr>
              <w:t>有</w:t>
            </w:r>
            <w:r>
              <w:rPr>
                <w:rFonts w:hint="eastAsia" w:ascii="仿宋_GB2312" w:eastAsia="仿宋_GB2312"/>
                <w:kern w:val="0"/>
              </w:rPr>
              <w:t>预期目标全部完成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74" w:type="dxa"/>
            <w:vMerge w:val="restart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绩效指标</w:t>
            </w: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一级指标</w:t>
            </w:r>
          </w:p>
        </w:tc>
        <w:tc>
          <w:tcPr>
            <w:tcW w:w="102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二级指标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三级指标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年度指标值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实际完成值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分值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得分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偏差原因</w:t>
            </w:r>
          </w:p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分析及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改进措施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产出指标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kern w:val="0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数量指标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举办各项群众文艺活动；举办送书画进万家活动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各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15场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各完成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15场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eastAsia"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开展各类文化研讨会3场，组织开展非遗项目展演十余次，开展非遗进校园、举办非遗培训班。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研讨会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3场；非遗项目展演十余次；非遗进校园1次；非遗培训班1次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均已完成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开展“社会主义核心价值观”广场舞培训班、“我为群众办实事”技艺课、美术、书画培训班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5600余人次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惠及人次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5600余人次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4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质量指标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力保各项活动达到预期值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活动圆满完成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100%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活动圆满完成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100%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时效指标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各项指标按进度完成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按上级规定时间或方案预定时间完成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按时完成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效益指标</w:t>
            </w:r>
            <w:r>
              <w:rPr>
                <w:rFonts w:hint="eastAsia" w:ascii="仿宋_GB2312" w:eastAsia="仿宋_GB2312"/>
                <w:kern w:val="0"/>
              </w:rPr>
              <w:t>(30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经济效益指标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增强文化品牌效益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带动本地文旅经济发展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通过各项活动增长本地旅游业的发展，带动了各项文化市场经济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8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社会效益指标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开展“社会主义核心价值观”广场舞培训班、“我为群众办实事”技艺课、美术、书画培训班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需求覆盖人群增长率大于或等于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5%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经随机对群众口头询问或采访，被访人员对培训班了解比率比往期增长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5%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9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生态效益指标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生态环境改善状况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有所改善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210" w:firstLineChars="100"/>
              <w:jc w:val="both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有所改善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4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可持续影响指标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对文旅融合氛围的影响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长期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通过不定时开展各类活动，带动了本地经济的发展，对文旅融合有很好的促进作用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满意度指标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(10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服务对象满意度指标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活动展演展示现场观众满意度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大于或等于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95%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经口头询问采访，现场观众满意度大于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95%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成本指标</w:t>
            </w:r>
          </w:p>
          <w:p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（20分）</w:t>
            </w:r>
          </w:p>
        </w:tc>
        <w:tc>
          <w:tcPr>
            <w:tcW w:w="1029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经济成本指标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控制成本、严格按预算指标进行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100%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100%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社会成本指标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对社会发展可能造成的负面影响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无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无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生态环境成本指标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对自然生态环境造成的负面影响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无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无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988" w:type="dxa"/>
            <w:gridSpan w:val="6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总分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100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95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</w:tbl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left="-619" w:leftChars="-295" w:firstLine="0" w:firstLineChars="0"/>
        <w:textAlignment w:val="baseline"/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</w:pP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填表人：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陈雅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 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填报日期：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2024.07.09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联系电话：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13548915166 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单位负责人签字：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周海燕</w:t>
      </w:r>
      <w:r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  <w:t xml:space="preserve"> </w:t>
      </w: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</w:pPr>
      <w:r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  <w:t>附件3</w:t>
      </w:r>
    </w:p>
    <w:p>
      <w:pPr>
        <w:spacing w:before="91" w:line="219" w:lineRule="auto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年度项目支出绩效自评表</w:t>
      </w:r>
    </w:p>
    <w:p>
      <w:pPr>
        <w:spacing w:line="95" w:lineRule="exact"/>
        <w:ind w:firstLine="420"/>
        <w:jc w:val="left"/>
        <w:rPr>
          <w:kern w:val="0"/>
          <w:lang w:eastAsia="zh-CN"/>
        </w:rPr>
      </w:pPr>
    </w:p>
    <w:tbl>
      <w:tblPr>
        <w:tblStyle w:val="7"/>
        <w:tblW w:w="959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4"/>
        <w:gridCol w:w="1059"/>
        <w:gridCol w:w="1218"/>
        <w:gridCol w:w="1020"/>
        <w:gridCol w:w="1099"/>
        <w:gridCol w:w="1099"/>
        <w:gridCol w:w="809"/>
        <w:gridCol w:w="849"/>
        <w:gridCol w:w="13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05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项目支出名称</w:t>
            </w:r>
          </w:p>
        </w:tc>
        <w:tc>
          <w:tcPr>
            <w:tcW w:w="8536" w:type="dxa"/>
            <w:gridSpan w:val="8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非遗保护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主管部门</w:t>
            </w:r>
          </w:p>
        </w:tc>
        <w:tc>
          <w:tcPr>
            <w:tcW w:w="4396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汨罗市文化旅游广电局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实施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单位</w:t>
            </w:r>
          </w:p>
        </w:tc>
        <w:tc>
          <w:tcPr>
            <w:tcW w:w="3041" w:type="dxa"/>
            <w:gridSpan w:val="3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汨罗市文化馆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 xml:space="preserve">项目资金 </w:t>
            </w:r>
            <w:r>
              <w:rPr>
                <w:rFonts w:ascii="仿宋_GB2312" w:hAnsi="宋体" w:eastAsia="仿宋_GB2312" w:cs="宋体"/>
                <w:kern w:val="0"/>
                <w:lang w:eastAsia="zh-CN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万元</w:t>
            </w:r>
            <w:r>
              <w:rPr>
                <w:rFonts w:ascii="仿宋_GB2312" w:hAnsi="宋体" w:eastAsia="仿宋_GB2312" w:cs="宋体"/>
                <w:kern w:val="0"/>
                <w:lang w:eastAsia="zh-CN"/>
              </w:rPr>
              <w:t>)</w:t>
            </w: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年初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全年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全年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执行数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分值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执行率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年度资金总额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0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50.71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50.71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ascii="仿宋_GB2312" w:hAnsi="宋体" w:eastAsia="仿宋_GB2312" w:cs="宋体"/>
                <w:kern w:val="0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100%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其中：当年财政拨款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0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50.71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50.71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ind w:firstLine="630" w:firstLineChars="30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上年结转资金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0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0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ind w:firstLine="630" w:firstLineChars="30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其他资金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0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0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49" w:hRule="atLeast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年度总体目标</w:t>
            </w:r>
          </w:p>
        </w:tc>
        <w:tc>
          <w:tcPr>
            <w:tcW w:w="4396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预期目标</w:t>
            </w:r>
          </w:p>
        </w:tc>
        <w:tc>
          <w:tcPr>
            <w:tcW w:w="414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坚持以习近平新时代中国特色社会思想为指引，全面贯彻党的二十大精神，以创新、协调、绿色、开放、共享的理念，切实担负起新时代新的文化使命，大力弘扬优秀传统文化。</w:t>
            </w:r>
          </w:p>
        </w:tc>
        <w:tc>
          <w:tcPr>
            <w:tcW w:w="4140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我馆配合市委市政府中心工作，围绕“非遗＋节庆”模式，依托元宵“抬故事”、端午划龙舟、中秋“耍宝塔”等非遗节庆资源，先后组织开展了2022“文化进万家—视频直播家乡年”暨汨罗市长乐镇第八届民间文化旅游节、湖南省“我们的节日·端午”主题活动、2022年新市古镇“中秋耍宝塔”文化旅游节等“我们的节日”非遗品牌节庆活动；按照文化和旅游部、省文旅厅要求，组织开展了汨罗市2022年“文化和自然遗产日”非遗宣传展示活动暨“汨罗江之夜·周三有约”品牌文化活动，非遗节目展演、非遗文创市集展销、非遗保护成果展览为八方游客送上一场非遗盛宴，彰显了罗城魅力；积极组织我市非遗项目参加了湖南省首届非遗博览会、第十四届省运会开幕式、岳阳市2022年“文化和自然遗产日”非遗宣传展示活动暨第三届非遗购物节、2022 首届中国·岳阳“洞庭 渔火季”、非遗流韵·蓝墨增辉”汨罗江流域非遗档案展、中国农民丰收节全国供销合作社（湖南汨罗）主题日等多项重大展览、展演活动，宣传推介本土非遗资源，让汨罗非遗展现新时代的光彩，迸发出新的活力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054" w:type="dxa"/>
            <w:vMerge w:val="restart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绩效指标</w:t>
            </w:r>
          </w:p>
        </w:tc>
        <w:tc>
          <w:tcPr>
            <w:tcW w:w="105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一级指标</w:t>
            </w:r>
          </w:p>
        </w:tc>
        <w:tc>
          <w:tcPr>
            <w:tcW w:w="121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二级指标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三级指标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年度指标值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实际完成值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分值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得分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偏差原因分析及改进措施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产出指标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ascii="仿宋_GB2312" w:hAnsi="宋体" w:eastAsia="仿宋_GB2312" w:cs="宋体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3</w:t>
            </w:r>
            <w:r>
              <w:rPr>
                <w:rFonts w:ascii="仿宋_GB2312" w:hAnsi="宋体" w:eastAsia="仿宋_GB2312" w:cs="宋体"/>
                <w:kern w:val="0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ascii="仿宋_GB2312" w:hAnsi="宋体" w:eastAsia="仿宋_GB2312" w:cs="宋体"/>
                <w:kern w:val="0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数量指标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举办非遗展演展示活动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大于或等于三场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三场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10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10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5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质量指标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力保各项活动达到预期值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活动圆满完成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100%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活动圆满完成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100%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10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10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时效指标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按时完在各项活动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按上级规定时间或方案预定时间完成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按时完成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10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10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效益指标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ascii="仿宋_GB2312" w:hAnsi="宋体" w:eastAsia="仿宋_GB2312" w:cs="宋体"/>
                <w:kern w:val="0"/>
              </w:rPr>
              <w:t>(30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ascii="仿宋_GB2312" w:hAnsi="宋体" w:eastAsia="仿宋_GB2312" w:cs="宋体"/>
                <w:kern w:val="0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经济效益指标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增强文化品牌效益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带动本地文旅经济发展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通过各项活动增长本地旅游业的发展，带动了非遗文化市场经济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10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8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5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社会效益指标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非遗宣传传播覆盖人群增长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大于或等于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5%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经随机对群众口头询问或采访，补访人员对非遗了解比往期增长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5%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10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7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生态效益指标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生态环境改善状况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 w:firstLineChars="0"/>
              <w:jc w:val="left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有所改善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210" w:firstLineChars="100"/>
              <w:jc w:val="both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有所改善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5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5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4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可持续影响指标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对增强非遗保护传承氛围的影响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长期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通过不定时开展非遗活动，对非遗保护传承的氛围获得长期影响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5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5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5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满意度指标</w:t>
            </w:r>
            <w:r>
              <w:rPr>
                <w:rFonts w:ascii="仿宋_GB2312" w:hAnsi="宋体" w:eastAsia="仿宋_GB2312" w:cs="宋体"/>
                <w:kern w:val="0"/>
              </w:rPr>
              <w:t>(10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ascii="仿宋_GB2312" w:hAnsi="宋体" w:eastAsia="仿宋_GB2312" w:cs="宋体"/>
                <w:kern w:val="0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服务对象满意度指标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非遗活动展演展示现场观众满意度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 w:firstLineChars="0"/>
              <w:jc w:val="left"/>
              <w:rPr>
                <w:rFonts w:hint="default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大于或等于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95%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default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经口头询问采访，现场观众满意度大于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95%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10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10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成本指标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（20分）</w:t>
            </w:r>
          </w:p>
        </w:tc>
        <w:tc>
          <w:tcPr>
            <w:tcW w:w="1218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经济成本指标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控制成本、严格按预算指标进行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 w:firstLineChars="0"/>
              <w:jc w:val="left"/>
              <w:rPr>
                <w:rFonts w:hint="default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100%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default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100%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10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10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社会成本指标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对社会发展可能造成的负面影响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 w:firstLineChars="0"/>
              <w:jc w:val="left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无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5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5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生态环境成本指标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对自然生态环境造成的负面影响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 w:firstLineChars="0"/>
              <w:jc w:val="left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无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5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5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55" w:hRule="atLeast"/>
          <w:jc w:val="center"/>
        </w:trPr>
        <w:tc>
          <w:tcPr>
            <w:tcW w:w="6549" w:type="dxa"/>
            <w:gridSpan w:val="6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总分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ascii="仿宋_GB2312" w:hAnsi="宋体" w:eastAsia="仿宋_GB2312" w:cs="宋体"/>
                <w:kern w:val="0"/>
              </w:rPr>
              <w:t>100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</w:tbl>
    <w:p>
      <w:pPr>
        <w:spacing w:before="52" w:line="219" w:lineRule="auto"/>
        <w:jc w:val="left"/>
        <w:rPr>
          <w:rFonts w:ascii="仿宋_GB2312" w:hAnsi="宋体" w:eastAsia="仿宋_GB2312" w:cs="宋体"/>
          <w:kern w:val="0"/>
          <w:lang w:eastAsia="zh-CN"/>
        </w:rPr>
      </w:pPr>
      <w:r>
        <w:rPr>
          <w:rFonts w:ascii="仿宋_GB2312" w:hAnsi="宋体" w:eastAsia="仿宋_GB2312" w:cs="宋体"/>
          <w:kern w:val="0"/>
          <w:lang w:eastAsia="zh-CN"/>
        </w:rPr>
        <w:t>备注： 一个一级项目支出一张表。如，业务工作经费，运行维护经费，其他事业发展类资金…各一张表.</w:t>
      </w:r>
    </w:p>
    <w:p>
      <w:pPr>
        <w:spacing w:line="240" w:lineRule="auto"/>
        <w:ind w:firstLine="420"/>
        <w:jc w:val="left"/>
        <w:rPr>
          <w:rFonts w:ascii="宋体" w:hAnsi="宋体" w:eastAsia="宋体" w:cs="宋体"/>
          <w:kern w:val="0"/>
          <w:lang w:eastAsia="zh-CN"/>
        </w:rPr>
      </w:pPr>
    </w:p>
    <w:p>
      <w:pPr>
        <w:rPr>
          <w:rFonts w:ascii="仿宋_GB2312" w:hAnsi="宋体" w:eastAsia="仿宋_GB2312" w:cs="宋体"/>
          <w:lang w:eastAsia="zh-CN"/>
        </w:rPr>
        <w:sectPr>
          <w:footerReference r:id="rId7" w:type="default"/>
          <w:pgSz w:w="11907" w:h="16839"/>
          <w:pgMar w:top="1531" w:right="1474" w:bottom="1531" w:left="1587" w:header="0" w:footer="1588" w:gutter="0"/>
          <w:pgNumType w:fmt="numberInDash"/>
          <w:cols w:space="720" w:num="1"/>
          <w:docGrid w:linePitch="286" w:charSpace="0"/>
        </w:sectPr>
      </w:pPr>
      <w:r>
        <w:rPr>
          <w:rFonts w:hint="eastAsia" w:ascii="仿宋_GB2312" w:hAnsi="宋体" w:eastAsia="仿宋_GB2312" w:cs="宋体"/>
          <w:kern w:val="0"/>
          <w:lang w:eastAsia="zh-CN"/>
        </w:rPr>
        <w:t>填表人：陈雅</w:t>
      </w:r>
      <w:r>
        <w:rPr>
          <w:rFonts w:ascii="仿宋_GB2312" w:hAnsi="宋体" w:eastAsia="仿宋_GB2312" w:cs="宋体"/>
          <w:kern w:val="0"/>
          <w:lang w:eastAsia="zh-CN"/>
        </w:rPr>
        <w:t xml:space="preserve">    </w:t>
      </w:r>
      <w:r>
        <w:rPr>
          <w:rFonts w:hint="eastAsia" w:ascii="仿宋_GB2312" w:hAnsi="宋体" w:eastAsia="仿宋_GB2312" w:cs="宋体"/>
          <w:kern w:val="0"/>
          <w:lang w:eastAsia="zh-CN"/>
        </w:rPr>
        <w:t>填报日期：</w:t>
      </w:r>
      <w:r>
        <w:rPr>
          <w:rFonts w:hint="eastAsia" w:ascii="仿宋_GB2312" w:hAnsi="宋体" w:eastAsia="仿宋_GB2312" w:cs="宋体"/>
          <w:kern w:val="0"/>
          <w:lang w:val="en-US" w:eastAsia="zh-CN"/>
        </w:rPr>
        <w:t>2024.07.09</w:t>
      </w:r>
      <w:r>
        <w:rPr>
          <w:rFonts w:ascii="仿宋_GB2312" w:hAnsi="宋体" w:eastAsia="仿宋_GB2312" w:cs="宋体"/>
          <w:kern w:val="0"/>
          <w:lang w:eastAsia="zh-CN"/>
        </w:rPr>
        <w:t xml:space="preserve">    </w:t>
      </w:r>
      <w:r>
        <w:rPr>
          <w:rFonts w:hint="eastAsia" w:ascii="仿宋_GB2312" w:hAnsi="宋体" w:eastAsia="仿宋_GB2312" w:cs="宋体"/>
          <w:kern w:val="0"/>
          <w:lang w:eastAsia="zh-CN"/>
        </w:rPr>
        <w:t>联系电话：</w:t>
      </w:r>
      <w:r>
        <w:rPr>
          <w:rFonts w:hint="eastAsia" w:ascii="仿宋_GB2312" w:hAnsi="宋体" w:eastAsia="仿宋_GB2312" w:cs="宋体"/>
          <w:kern w:val="0"/>
          <w:lang w:val="en-US" w:eastAsia="zh-CN"/>
        </w:rPr>
        <w:t>13548915166</w:t>
      </w:r>
      <w:r>
        <w:rPr>
          <w:rFonts w:ascii="仿宋_GB2312" w:hAnsi="宋体" w:eastAsia="仿宋_GB2312" w:cs="宋体"/>
          <w:kern w:val="0"/>
          <w:lang w:eastAsia="zh-CN"/>
        </w:rPr>
        <w:t xml:space="preserve">  </w:t>
      </w:r>
      <w:r>
        <w:rPr>
          <w:rFonts w:hint="eastAsia" w:ascii="仿宋_GB2312" w:hAnsi="宋体" w:eastAsia="仿宋_GB2312" w:cs="宋体"/>
          <w:kern w:val="0"/>
          <w:lang w:eastAsia="zh-CN"/>
        </w:rPr>
        <w:t>单位负责人签字:周海燕</w:t>
      </w:r>
    </w:p>
    <w:p>
      <w:pPr>
        <w:spacing w:line="267" w:lineRule="auto"/>
        <w:ind w:firstLine="552"/>
        <w:jc w:val="both"/>
        <w:rPr>
          <w:rFonts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  <w:t>附件4</w:t>
      </w:r>
    </w:p>
    <w:p>
      <w:pPr>
        <w:spacing w:line="240" w:lineRule="auto"/>
        <w:ind w:firstLine="880"/>
        <w:jc w:val="center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240" w:lineRule="auto"/>
        <w:ind w:firstLine="880"/>
        <w:jc w:val="center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240" w:lineRule="auto"/>
        <w:ind w:firstLine="880"/>
        <w:jc w:val="center"/>
        <w:rPr>
          <w:rFonts w:ascii="方正小标宋简体" w:hAnsi="宋体" w:eastAsia="方正小标宋简体" w:cs="宋体"/>
          <w:kern w:val="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eastAsia="方正小标宋简体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年度</w:t>
      </w: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汨罗市文化馆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单位整体支出</w:t>
      </w:r>
    </w:p>
    <w:p>
      <w:pPr>
        <w:spacing w:line="240" w:lineRule="auto"/>
        <w:ind w:firstLine="880"/>
        <w:jc w:val="center"/>
        <w:rPr>
          <w:rFonts w:ascii="方正小标宋简体" w:eastAsia="方正小标宋简体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绩效自评报告</w:t>
      </w: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  <w:t>部门(单位)名称：</w:t>
      </w:r>
      <w:r>
        <w:rPr>
          <w:rFonts w:hint="eastAsia"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u w:val="single"/>
          <w:lang w:val="en-US" w:eastAsia="zh-CN" w:bidi="ar-SA"/>
        </w:rPr>
        <w:t>(盖章)</w:t>
      </w:r>
    </w:p>
    <w:p>
      <w:pPr>
        <w:spacing w:before="274" w:line="225" w:lineRule="auto"/>
        <w:ind w:firstLine="617"/>
        <w:jc w:val="center"/>
        <w:rPr>
          <w:rFonts w:ascii="楷体_GB2312" w:hAnsi="楷体" w:eastAsia="楷体_GB2312" w:cs="楷体"/>
          <w:kern w:val="0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val="en-US" w:eastAsia="zh-CN"/>
        </w:rPr>
        <w:t xml:space="preserve">2024 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eastAsia="zh-CN"/>
        </w:rPr>
        <w:t>年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val="en-US" w:eastAsia="zh-CN"/>
        </w:rPr>
        <w:t xml:space="preserve"> 07 </w:t>
      </w:r>
      <w:r>
        <w:rPr>
          <w:rFonts w:hint="eastAsia" w:ascii="楷体_GB2312" w:hAnsi="楷体" w:eastAsia="楷体_GB2312" w:cs="楷体"/>
          <w:spacing w:val="-13"/>
          <w:kern w:val="0"/>
          <w:sz w:val="32"/>
          <w:szCs w:val="32"/>
          <w:lang w:eastAsia="zh-CN"/>
        </w:rPr>
        <w:t>月</w:t>
      </w:r>
      <w:r>
        <w:rPr>
          <w:rFonts w:hint="eastAsia" w:ascii="楷体_GB2312" w:hAnsi="楷体" w:eastAsia="楷体_GB2312" w:cs="楷体"/>
          <w:spacing w:val="-13"/>
          <w:kern w:val="0"/>
          <w:sz w:val="32"/>
          <w:szCs w:val="32"/>
          <w:lang w:val="en-US" w:eastAsia="zh-CN"/>
        </w:rPr>
        <w:t xml:space="preserve"> 09</w:t>
      </w:r>
      <w:r>
        <w:rPr>
          <w:rFonts w:hint="eastAsia" w:ascii="楷体_GB2312" w:hAnsi="楷体" w:eastAsia="楷体_GB2312" w:cs="楷体"/>
          <w:spacing w:val="-13"/>
          <w:kern w:val="0"/>
          <w:sz w:val="32"/>
          <w:szCs w:val="32"/>
          <w:lang w:eastAsia="zh-CN"/>
        </w:rPr>
        <w:t xml:space="preserve"> 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eastAsia="zh-CN"/>
        </w:rPr>
        <w:t>日</w:t>
      </w: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  <w:r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  <w:t>(此页为封面)</w:t>
      </w: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both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sdt>
      <w:sdtPr>
        <w:rPr>
          <w:rFonts w:ascii="Arial" w:hAnsi="Arial" w:eastAsia="Arial" w:cs="Arial"/>
          <w:snapToGrid w:val="0"/>
          <w:color w:val="000000"/>
          <w:sz w:val="21"/>
          <w:szCs w:val="21"/>
          <w:lang w:val="en-US" w:eastAsia="en-US" w:bidi="ar-SA"/>
        </w:rPr>
        <w:id w:val="3580075"/>
        <w:docPartObj>
          <w:docPartGallery w:val="autotext"/>
        </w:docPartObj>
      </w:sdtPr>
      <w:sdtEndPr>
        <w:rPr>
          <w:rFonts w:hint="eastAsia" w:cs="Arial" w:asciiTheme="minorEastAsia" w:hAnsiTheme="minorEastAsia" w:eastAsiaTheme="minorEastAsia"/>
          <w:snapToGrid w:val="0"/>
          <w:color w:val="000000"/>
          <w:kern w:val="0"/>
          <w:sz w:val="28"/>
          <w:szCs w:val="28"/>
          <w:lang w:val="en-US" w:eastAsia="en-US" w:bidi="ar-SA"/>
        </w:rPr>
      </w:sdtEndPr>
      <w:sdtContent>
        <w:p>
          <w:pPr>
            <w:pStyle w:val="3"/>
            <w:ind w:firstLine="360"/>
            <w:jc w:val="left"/>
            <w:rPr>
              <w:rFonts w:asciiTheme="minorEastAsia" w:hAnsiTheme="minorEastAsia" w:eastAsiaTheme="minorEastAsia"/>
              <w:kern w:val="0"/>
              <w:lang w:eastAsia="zh-CN"/>
            </w:rPr>
          </w:pPr>
        </w:p>
      </w:sdtContent>
    </w:sdt>
    <w:p>
      <w:pPr>
        <w:spacing w:before="130" w:line="221" w:lineRule="auto"/>
        <w:jc w:val="center"/>
        <w:rPr>
          <w:rFonts w:ascii="黑体" w:hAnsi="黑体" w:eastAsia="黑体" w:cs="黑体"/>
          <w:spacing w:val="16"/>
          <w:sz w:val="40"/>
          <w:szCs w:val="40"/>
        </w:rPr>
      </w:pPr>
      <w:r>
        <w:rPr>
          <w:rFonts w:ascii="黑体" w:hAnsi="黑体" w:eastAsia="黑体" w:cs="黑体"/>
          <w:spacing w:val="16"/>
          <w:sz w:val="40"/>
          <w:szCs w:val="40"/>
        </w:rPr>
        <w:t>202</w:t>
      </w:r>
      <w:r>
        <w:rPr>
          <w:rFonts w:hint="eastAsia" w:ascii="黑体" w:hAnsi="黑体" w:eastAsia="黑体" w:cs="黑体"/>
          <w:spacing w:val="16"/>
          <w:sz w:val="40"/>
          <w:szCs w:val="40"/>
          <w:lang w:val="en-US" w:eastAsia="zh-CN"/>
        </w:rPr>
        <w:t>2</w:t>
      </w:r>
      <w:r>
        <w:rPr>
          <w:rFonts w:ascii="黑体" w:hAnsi="黑体" w:eastAsia="黑体" w:cs="黑体"/>
          <w:spacing w:val="16"/>
          <w:sz w:val="40"/>
          <w:szCs w:val="40"/>
        </w:rPr>
        <w:t xml:space="preserve"> 年度</w:t>
      </w:r>
      <w:r>
        <w:rPr>
          <w:rFonts w:hint="eastAsia" w:ascii="黑体" w:hAnsi="黑体" w:eastAsia="黑体" w:cs="黑体"/>
          <w:spacing w:val="-60"/>
          <w:sz w:val="40"/>
          <w:szCs w:val="40"/>
          <w:lang w:eastAsia="zh-CN"/>
        </w:rPr>
        <w:t>汨罗市文化馆</w:t>
      </w:r>
      <w:r>
        <w:rPr>
          <w:rFonts w:ascii="黑体" w:hAnsi="黑体" w:eastAsia="黑体" w:cs="黑体"/>
          <w:spacing w:val="16"/>
          <w:sz w:val="40"/>
          <w:szCs w:val="40"/>
        </w:rPr>
        <w:t>部门整体支出绩效</w:t>
      </w:r>
    </w:p>
    <w:p>
      <w:pPr>
        <w:spacing w:before="130" w:line="221" w:lineRule="auto"/>
        <w:jc w:val="center"/>
        <w:rPr>
          <w:rFonts w:ascii="黑体" w:hAnsi="黑体" w:eastAsia="黑体" w:cs="黑体"/>
          <w:sz w:val="40"/>
          <w:szCs w:val="40"/>
        </w:rPr>
      </w:pPr>
      <w:r>
        <w:rPr>
          <w:rFonts w:ascii="黑体" w:hAnsi="黑体" w:eastAsia="黑体" w:cs="黑体"/>
          <w:spacing w:val="-24"/>
          <w:position w:val="20"/>
          <w:sz w:val="40"/>
          <w:szCs w:val="40"/>
        </w:rPr>
        <w:t>自</w:t>
      </w:r>
      <w:r>
        <w:rPr>
          <w:rFonts w:ascii="黑体" w:hAnsi="黑体" w:eastAsia="黑体" w:cs="黑体"/>
          <w:spacing w:val="82"/>
          <w:position w:val="20"/>
          <w:sz w:val="40"/>
          <w:szCs w:val="40"/>
        </w:rPr>
        <w:t xml:space="preserve"> </w:t>
      </w:r>
      <w:r>
        <w:rPr>
          <w:rFonts w:ascii="黑体" w:hAnsi="黑体" w:eastAsia="黑体" w:cs="黑体"/>
          <w:spacing w:val="-24"/>
          <w:position w:val="20"/>
          <w:sz w:val="40"/>
          <w:szCs w:val="40"/>
        </w:rPr>
        <w:t>评</w:t>
      </w:r>
      <w:r>
        <w:rPr>
          <w:rFonts w:ascii="黑体" w:hAnsi="黑体" w:eastAsia="黑体" w:cs="黑体"/>
          <w:spacing w:val="79"/>
          <w:position w:val="20"/>
          <w:sz w:val="40"/>
          <w:szCs w:val="40"/>
        </w:rPr>
        <w:t xml:space="preserve"> </w:t>
      </w:r>
      <w:r>
        <w:rPr>
          <w:rFonts w:ascii="黑体" w:hAnsi="黑体" w:eastAsia="黑体" w:cs="黑体"/>
          <w:spacing w:val="-24"/>
          <w:position w:val="20"/>
          <w:sz w:val="40"/>
          <w:szCs w:val="40"/>
        </w:rPr>
        <w:t>报</w:t>
      </w:r>
      <w:r>
        <w:rPr>
          <w:rFonts w:ascii="黑体" w:hAnsi="黑体" w:eastAsia="黑体" w:cs="黑体"/>
          <w:spacing w:val="87"/>
          <w:position w:val="20"/>
          <w:sz w:val="40"/>
          <w:szCs w:val="40"/>
        </w:rPr>
        <w:t xml:space="preserve"> </w:t>
      </w:r>
      <w:r>
        <w:rPr>
          <w:rFonts w:ascii="黑体" w:hAnsi="黑体" w:eastAsia="黑体" w:cs="黑体"/>
          <w:spacing w:val="-24"/>
          <w:position w:val="20"/>
          <w:sz w:val="40"/>
          <w:szCs w:val="40"/>
        </w:rPr>
        <w:t>告</w:t>
      </w: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both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40"/>
        <w:jc w:val="both"/>
        <w:textAlignment w:val="baseline"/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一、部门</w:t>
      </w:r>
      <w:r>
        <w:rPr>
          <w:rFonts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(</w:t>
      </w: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单位</w:t>
      </w:r>
      <w:r>
        <w:rPr>
          <w:rFonts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)</w:t>
      </w: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基本情况</w:t>
      </w: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40"/>
        <w:jc w:val="both"/>
        <w:textAlignment w:val="baseline"/>
        <w:rPr>
          <w:rFonts w:hint="eastAsia" w:ascii="Times New Roman" w:hAnsi="Times New Roman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文化馆职能职责：组织群众文化活动，繁荣群众文化事业，文化宣传相关培训，业余创作团体管理，业余文艺创作组织文化交流艺术推广.</w:t>
      </w: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40"/>
        <w:jc w:val="both"/>
        <w:textAlignment w:val="baseline"/>
        <w:rPr>
          <w:rFonts w:hint="eastAsia" w:ascii="Times New Roman" w:hAnsi="Times New Roman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机构设置：汨罗市文化馆内设机构包括：馆长室、书记室、非保中心、群文室、财务室</w:t>
      </w: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40"/>
        <w:jc w:val="both"/>
        <w:textAlignment w:val="baseline"/>
        <w:rPr>
          <w:rFonts w:hint="eastAsia" w:ascii="Times New Roman" w:hAnsi="Times New Roman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汨罗市文化馆属全额编制的事业单位，隶属汨罗市文化旅游广电新闻出版局二级单位。会计属独立会计核算单位。共有人数32人，其中：在职在岗人员15人，退休人员14人，遗属2人，临聘人员1人.</w:t>
      </w:r>
    </w:p>
    <w:p>
      <w:pPr>
        <w:spacing w:line="600" w:lineRule="exact"/>
        <w:ind w:firstLine="640" w:firstLineChars="200"/>
        <w:jc w:val="both"/>
        <w:rPr>
          <w:rFonts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二、一般公共预算支出情况</w:t>
      </w:r>
    </w:p>
    <w:p>
      <w:pPr>
        <w:pStyle w:val="9"/>
        <w:spacing w:line="600" w:lineRule="exact"/>
        <w:ind w:firstLine="643"/>
        <w:jc w:val="both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楷体_GB2312"/>
          <w:b/>
          <w:kern w:val="0"/>
          <w:sz w:val="32"/>
          <w:szCs w:val="32"/>
          <w:lang w:eastAsia="zh-CN"/>
        </w:rPr>
        <w:t>（一）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基本支出情况</w:t>
      </w:r>
    </w:p>
    <w:p>
      <w:pPr>
        <w:pStyle w:val="9"/>
        <w:spacing w:line="600" w:lineRule="exact"/>
        <w:ind w:firstLine="643"/>
        <w:jc w:val="both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我单位2022年度基本支出181.12万元，其中：工资福利支出139.97万元、商品和服务支出41.15万元。</w:t>
      </w:r>
    </w:p>
    <w:p>
      <w:pPr>
        <w:pStyle w:val="9"/>
        <w:spacing w:line="600" w:lineRule="exact"/>
        <w:ind w:firstLine="643"/>
        <w:jc w:val="both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文化馆基本支出根据业务工作需要，发生支出时，由分管副馆长审核、分管财经领导审核、由采购人在政采云平台进行采购，报财政局国库统一集中支付、刷公务卡时，报财政局国库集中支付。</w:t>
      </w:r>
    </w:p>
    <w:p>
      <w:pPr>
        <w:pStyle w:val="9"/>
        <w:spacing w:line="600" w:lineRule="exact"/>
        <w:ind w:firstLine="643"/>
        <w:jc w:val="both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楷体_GB2312"/>
          <w:b/>
          <w:kern w:val="0"/>
          <w:sz w:val="32"/>
          <w:szCs w:val="32"/>
          <w:lang w:eastAsia="zh-CN"/>
        </w:rPr>
        <w:t>（二）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项目支出情况</w:t>
      </w:r>
    </w:p>
    <w:p>
      <w:pPr>
        <w:pStyle w:val="9"/>
        <w:spacing w:line="600" w:lineRule="exact"/>
        <w:ind w:firstLine="643"/>
        <w:jc w:val="both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我单位2022年度项目支出——非遗保护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50.71</w:t>
      </w:r>
      <w:bookmarkStart w:id="0" w:name="_GoBack"/>
      <w:bookmarkEnd w:id="0"/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万元。</w:t>
      </w:r>
    </w:p>
    <w:p>
      <w:pPr>
        <w:pStyle w:val="9"/>
        <w:spacing w:line="600" w:lineRule="exact"/>
        <w:ind w:firstLine="643"/>
        <w:jc w:val="both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</w:p>
    <w:p>
      <w:pPr>
        <w:pStyle w:val="9"/>
        <w:spacing w:line="600" w:lineRule="exact"/>
        <w:ind w:firstLine="643"/>
        <w:jc w:val="both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三、政府性基金预算支出情况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2022年度我单位无政府性基金预算收支。</w:t>
      </w:r>
    </w:p>
    <w:p>
      <w:pPr>
        <w:spacing w:line="600" w:lineRule="exac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四、国有资本经营预算支出情况</w:t>
      </w:r>
    </w:p>
    <w:p>
      <w:pPr>
        <w:spacing w:line="600" w:lineRule="exact"/>
        <w:ind w:firstLine="600" w:firstLineChars="200"/>
        <w:jc w:val="both"/>
        <w:rPr>
          <w:rFonts w:hint="eastAsia" w:ascii="方正黑体_GBK" w:eastAsia="宋体"/>
          <w:kern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2022年度我单位无国有资本经营预算收支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>
      <w:pPr>
        <w:spacing w:line="600" w:lineRule="exac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五、社会保险基金预算支出情况</w:t>
      </w:r>
    </w:p>
    <w:p>
      <w:pPr>
        <w:spacing w:line="600" w:lineRule="exact"/>
        <w:ind w:firstLine="600" w:firstLineChars="200"/>
        <w:jc w:val="both"/>
        <w:rPr>
          <w:rFonts w:hint="eastAsia" w:ascii="方正黑体_GBK" w:eastAsia="宋体"/>
          <w:kern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2022年度我单位无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社会保险基金</w:t>
      </w:r>
      <w:r>
        <w:rPr>
          <w:rFonts w:hint="eastAsia" w:ascii="宋体" w:hAnsi="宋体" w:eastAsia="宋体" w:cs="宋体"/>
          <w:sz w:val="30"/>
          <w:szCs w:val="30"/>
        </w:rPr>
        <w:t>收支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>
      <w:pPr>
        <w:spacing w:line="600" w:lineRule="exact"/>
        <w:ind w:firstLine="640" w:firstLineChars="200"/>
        <w:jc w:val="both"/>
        <w:rPr>
          <w:rFonts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六、部门整体支出绩效情况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我部门组织对汨罗市文化馆等1个单位开展整体支出绩效评价，涉及一般公共预算支出231.83万元，政府性基金预算支出0万元。从评价情况来看，（一）阵地建设方面：1.加强党建，抓好思想政治教育；2.规范管理，完善运作机制；3.推进数字建设，全面提升文化效能；4.夯实队伍，加强凝聚力。（二）群文工作方面：我馆把满足群众文化需求作为工作的出发点和落脚点，组织开展了系列文化惠民活动，2022年累计开展各类文化活动300余场次，有效提高了我市文化惠民服务效能，扎实落实“文化为民、服务群众”民生实事工程。</w:t>
      </w:r>
    </w:p>
    <w:p>
      <w:pPr>
        <w:spacing w:line="600" w:lineRule="exac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七、存在的问题及原因分析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我部门</w:t>
      </w:r>
      <w:r>
        <w:rPr>
          <w:rFonts w:hint="eastAsia" w:ascii="仿宋" w:hAnsi="仿宋" w:eastAsia="仿宋" w:cs="仿宋"/>
          <w:sz w:val="30"/>
          <w:szCs w:val="30"/>
        </w:rPr>
        <w:t>从预算和预算绩效管理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sz w:val="30"/>
          <w:szCs w:val="30"/>
        </w:rPr>
        <w:t>部门履职效能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sz w:val="30"/>
          <w:szCs w:val="30"/>
        </w:rPr>
        <w:t>资金分配、使用和管理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sz w:val="30"/>
          <w:szCs w:val="30"/>
        </w:rPr>
        <w:t>资产和财务管理、政府采购等方面归纳存在的问题；反映各种预算支出执行偏离绩效目标的情况，并分析其原因。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0" w:after="0" w:line="600" w:lineRule="exact"/>
        <w:ind w:left="0" w:right="0" w:firstLine="600"/>
        <w:jc w:val="left"/>
        <w:textAlignment w:val="auto"/>
        <w:rPr>
          <w:rFonts w:hint="eastAsia" w:ascii="仿宋" w:hAnsi="仿宋" w:eastAsia="仿宋" w:cs="仿宋"/>
          <w:color w:val="000000"/>
          <w:spacing w:val="0"/>
          <w:kern w:val="0"/>
          <w:position w:val="0"/>
          <w:sz w:val="30"/>
          <w:shd w:val="clear" w:fill="auto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kern w:val="0"/>
          <w:position w:val="0"/>
          <w:sz w:val="30"/>
          <w:shd w:val="clear" w:fill="auto"/>
        </w:rPr>
        <w:t>整体支出绩效</w:t>
      </w:r>
      <w:r>
        <w:rPr>
          <w:rFonts w:hint="eastAsia" w:ascii="仿宋" w:hAnsi="仿宋" w:eastAsia="仿宋" w:cs="仿宋"/>
          <w:color w:val="000000"/>
          <w:spacing w:val="0"/>
          <w:kern w:val="0"/>
          <w:position w:val="0"/>
          <w:sz w:val="30"/>
          <w:shd w:val="clear" w:fill="auto"/>
          <w:lang w:eastAsia="zh-CN"/>
        </w:rPr>
        <w:t>存在的问题及原因分析为：业务</w:t>
      </w:r>
      <w:r>
        <w:rPr>
          <w:rFonts w:hint="eastAsia" w:ascii="仿宋" w:hAnsi="仿宋" w:eastAsia="仿宋" w:cs="仿宋"/>
          <w:color w:val="000000"/>
          <w:spacing w:val="0"/>
          <w:kern w:val="0"/>
          <w:position w:val="0"/>
          <w:sz w:val="30"/>
          <w:shd w:val="clear" w:fill="auto"/>
          <w:lang w:val="en-US" w:eastAsia="zh-CN"/>
        </w:rPr>
        <w:t>人才缺稀，无法独立完成各项群文活动，只能外请演出团队来协助我们完成各项活动，从而加重了单位的资金负担。每年的常规性演出活动（周三有约、送书画进校园）等政府政治性群文活动，财政均没有纳入预算，而全年的活动开展任务随着市委、市政府和人民群众对群文活动的要求标准越来越高，导致开展成本也不断提高，有限的资金在很大程度上制约了群文活动的开展质量。</w:t>
      </w:r>
    </w:p>
    <w:p>
      <w:pPr>
        <w:spacing w:line="600" w:lineRule="exact"/>
        <w:ind w:firstLine="600" w:firstLineChars="200"/>
        <w:jc w:val="both"/>
        <w:rPr>
          <w:rFonts w:hint="eastAsia" w:ascii="仿宋" w:hAnsi="仿宋" w:eastAsia="仿宋" w:cs="仿宋"/>
          <w:color w:val="000000"/>
          <w:spacing w:val="0"/>
          <w:kern w:val="0"/>
          <w:position w:val="0"/>
          <w:sz w:val="30"/>
          <w:shd w:val="clear" w:fill="auto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kern w:val="0"/>
          <w:position w:val="0"/>
          <w:sz w:val="30"/>
          <w:shd w:val="clear" w:fill="auto"/>
          <w:lang w:val="en-US" w:eastAsia="zh-CN"/>
        </w:rPr>
        <w:t>汨罗市文化馆</w:t>
      </w:r>
      <w:r>
        <w:rPr>
          <w:rFonts w:hint="eastAsia" w:ascii="仿宋" w:hAnsi="仿宋" w:eastAsia="仿宋" w:cs="仿宋"/>
          <w:color w:val="000000"/>
          <w:spacing w:val="0"/>
          <w:kern w:val="0"/>
          <w:position w:val="0"/>
          <w:sz w:val="30"/>
          <w:shd w:val="clear" w:fill="auto"/>
        </w:rPr>
        <w:t>项目</w:t>
      </w:r>
      <w:r>
        <w:rPr>
          <w:rFonts w:hint="eastAsia" w:ascii="仿宋" w:hAnsi="仿宋" w:eastAsia="仿宋" w:cs="仿宋"/>
          <w:color w:val="000000"/>
          <w:spacing w:val="0"/>
          <w:kern w:val="0"/>
          <w:position w:val="0"/>
          <w:sz w:val="30"/>
          <w:shd w:val="clear" w:fill="auto"/>
          <w:lang w:eastAsia="zh-CN"/>
        </w:rPr>
        <w:t>支出绩效存在的问题及原因分析为：国家对非遗项目保护日渐重视，我市非遗项目多，但财政给予的保护资金较为紧张，使非遗项目资料收集与非遗项目传承与发展受限</w:t>
      </w:r>
      <w:r>
        <w:rPr>
          <w:rFonts w:hint="eastAsia" w:ascii="仿宋" w:hAnsi="仿宋" w:eastAsia="仿宋" w:cs="仿宋"/>
          <w:color w:val="000000"/>
          <w:spacing w:val="0"/>
          <w:kern w:val="0"/>
          <w:position w:val="0"/>
          <w:sz w:val="30"/>
          <w:shd w:val="clear" w:fill="auto"/>
          <w:lang w:val="en-US" w:eastAsia="zh-CN"/>
        </w:rPr>
        <w:t>。</w:t>
      </w:r>
    </w:p>
    <w:p>
      <w:pPr>
        <w:spacing w:line="600" w:lineRule="exac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八、下一步改进措施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1、加强监管，做到监管机制环环相扣，不出现断层；单位预算是财政总预算的基础，它是党和国家方针、政策和社会发展战略在部门单位预算中的体现，是单位正常开展业务活动的重要经济保证。因此，为保证预算编制的质量，在编制预算中，本单位遵循下列原则：合法性原则、完整性原则、真实性原则、稳妥性原则、合作性原则、绩效性原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建立健全财政绩效评价指标体系，加强工作人员的业务培训和财政绩效管理信息化建设，加大绩效评价结果的运用。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/>
        <w:textAlignment w:val="auto"/>
        <w:rPr>
          <w:rFonts w:hint="default" w:ascii="方正黑体_GBK" w:eastAsia="方正黑体_GBK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2、建议财政部门在严格资金支出进度要求的同时，充分考虑到我单位工作的实际情况，增加我单位各项目年初本级财政预算经费。</w:t>
      </w:r>
    </w:p>
    <w:p>
      <w:pPr>
        <w:spacing w:line="600" w:lineRule="exac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九、部门整体支出绩效自评结果拟应用和公开情况</w:t>
      </w:r>
    </w:p>
    <w:p>
      <w:pPr>
        <w:spacing w:line="600" w:lineRule="exact"/>
        <w:ind w:firstLine="640" w:firstLineChars="200"/>
        <w:jc w:val="both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2022年度我单位努力做好财政预算收入、支出以及各项目的管理工作，将预算及时公开到相关的信息网络平台，并在执行过程中积极对执行情况进行监控，对预算的资金进行全方位的监督和管理，使每一笔资金都能起到最大的使用效益。结合我单位实际情况合理分配资金、提升资金的产出效果、节约成本与资源、提高部门的办事效率的目的。在部门预算整体支出绩效方面都按规定严格执行，合理安排支出，使财政资金发挥出最大的效益。</w:t>
      </w:r>
    </w:p>
    <w:p>
      <w:pPr>
        <w:spacing w:line="600" w:lineRule="exact"/>
        <w:ind w:firstLine="640" w:firstLineChars="200"/>
        <w:jc w:val="both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本年度部门整体目标绩效完成情况良好。</w:t>
      </w:r>
    </w:p>
    <w:p>
      <w:pPr>
        <w:spacing w:line="600" w:lineRule="exact"/>
        <w:ind w:firstLine="640" w:firstLineChars="200"/>
        <w:jc w:val="both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（一）产出指标</w:t>
      </w:r>
    </w:p>
    <w:p>
      <w:pPr>
        <w:spacing w:line="600" w:lineRule="exact"/>
        <w:ind w:firstLine="640" w:firstLineChars="200"/>
        <w:jc w:val="both"/>
        <w:rPr>
          <w:rFonts w:hint="default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1、数量指标达到以下目标：举办各项群众文艺活动、送书画进万家活动各15场；开展各类文化研讨会3场，组织开展非遗项目展演十余次，开展非遗进校园、举办非遗培训班各1次；开展“社会主义核心价值观”广场舞培训班、“我为群众办实事”技艺课、美术、书画培训班参加人次5600余人次。</w:t>
      </w:r>
    </w:p>
    <w:p>
      <w:pPr>
        <w:spacing w:line="600" w:lineRule="exact"/>
        <w:ind w:firstLine="640" w:firstLineChars="200"/>
        <w:jc w:val="both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2、质量指标达到以下目标：力保各项活动圆满完成100%。</w:t>
      </w:r>
    </w:p>
    <w:p>
      <w:pPr>
        <w:spacing w:line="600" w:lineRule="exact"/>
        <w:ind w:firstLine="640" w:firstLineChars="200"/>
        <w:jc w:val="both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3、时效指标达到以下目标：各项指标按上级规定时间或方案预定时间完成。</w:t>
      </w:r>
    </w:p>
    <w:p>
      <w:pPr>
        <w:spacing w:line="600" w:lineRule="exact"/>
        <w:ind w:firstLine="640" w:firstLineChars="200"/>
        <w:jc w:val="both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（二）效益指标</w:t>
      </w:r>
    </w:p>
    <w:p>
      <w:pPr>
        <w:spacing w:line="600" w:lineRule="exact"/>
        <w:ind w:firstLine="640" w:firstLineChars="200"/>
        <w:jc w:val="both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1、经济效益指标达到以下目标：通过各项活动增强文化品牌效应，带动本地旅游业的发展，带动文化市场经济的发展。</w:t>
      </w:r>
    </w:p>
    <w:p>
      <w:pPr>
        <w:spacing w:line="600" w:lineRule="exact"/>
        <w:ind w:firstLine="640" w:firstLineChars="200"/>
        <w:jc w:val="both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2、社会效益指标达到以下目标：开展各类活动需求覆盖人群增长率大于或等于5%。</w:t>
      </w:r>
    </w:p>
    <w:p>
      <w:pPr>
        <w:spacing w:line="600" w:lineRule="exact"/>
        <w:ind w:firstLine="640" w:firstLineChars="200"/>
        <w:jc w:val="both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3、生态效益指标达到以下目标：生态环境有所改善。</w:t>
      </w:r>
    </w:p>
    <w:p>
      <w:pPr>
        <w:spacing w:line="600" w:lineRule="exact"/>
        <w:ind w:firstLine="640" w:firstLineChars="200"/>
        <w:jc w:val="both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4、可持续影响指标达到以下目标：对文旅融合氛围的长期影响。</w:t>
      </w:r>
    </w:p>
    <w:p>
      <w:pPr>
        <w:spacing w:line="600" w:lineRule="exact"/>
        <w:ind w:firstLine="640" w:firstLineChars="200"/>
        <w:jc w:val="both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（三）满意度指标</w:t>
      </w:r>
    </w:p>
    <w:p>
      <w:pPr>
        <w:spacing w:line="600" w:lineRule="exact"/>
        <w:ind w:firstLine="640" w:firstLineChars="200"/>
        <w:jc w:val="both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服务对象满意度指标达到以下目标：经口头询问采访，活动展演、展示现场观众满意度大于95%。</w:t>
      </w:r>
    </w:p>
    <w:p>
      <w:pPr>
        <w:spacing w:line="600" w:lineRule="exact"/>
        <w:jc w:val="both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 xml:space="preserve">      （四）成本指标</w:t>
      </w:r>
    </w:p>
    <w:p>
      <w:pPr>
        <w:spacing w:line="600" w:lineRule="exact"/>
        <w:jc w:val="both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 xml:space="preserve">       经济成本指标达到以下目标：控制成本，严格按预算指标进行。</w:t>
      </w:r>
    </w:p>
    <w:p>
      <w:pPr>
        <w:spacing w:line="600" w:lineRule="exact"/>
        <w:jc w:val="both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 xml:space="preserve">       社会成本指标达到以下目标：对社会发展可能造成的负面影响无。</w:t>
      </w:r>
    </w:p>
    <w:p>
      <w:pPr>
        <w:spacing w:line="600" w:lineRule="exact"/>
        <w:ind w:firstLine="640" w:firstLineChars="200"/>
        <w:jc w:val="both"/>
        <w:rPr>
          <w:rFonts w:hint="default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生态环境成本指标达到以下目标：对自然生态环境造成的负面影响无。</w:t>
      </w:r>
    </w:p>
    <w:p>
      <w:pPr>
        <w:spacing w:line="600" w:lineRule="exact"/>
        <w:ind w:firstLine="640" w:firstLineChars="200"/>
        <w:jc w:val="both"/>
        <w:rPr>
          <w:rFonts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  <w:lang w:eastAsia="zh-CN"/>
        </w:rPr>
        <w:t>十、其他需要说明的情况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无。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报告需要以下附件：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1</w:t>
      </w:r>
      <w:r>
        <w:rPr>
          <w:rFonts w:hint="eastAsia" w:eastAsia="仿宋_GB2312"/>
          <w:kern w:val="0"/>
          <w:sz w:val="32"/>
          <w:szCs w:val="32"/>
          <w:lang w:eastAsia="zh-CN"/>
        </w:rPr>
        <w:t>、部门整体支出绩效评价基础数据表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2</w:t>
      </w:r>
      <w:r>
        <w:rPr>
          <w:rFonts w:hint="eastAsia" w:eastAsia="仿宋_GB2312"/>
          <w:kern w:val="0"/>
          <w:sz w:val="32"/>
          <w:szCs w:val="32"/>
          <w:lang w:eastAsia="zh-CN"/>
        </w:rPr>
        <w:t>、部门整体支出绩效自评表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3</w:t>
      </w:r>
      <w:r>
        <w:rPr>
          <w:rFonts w:hint="eastAsia" w:eastAsia="仿宋_GB2312"/>
          <w:kern w:val="0"/>
          <w:sz w:val="32"/>
          <w:szCs w:val="32"/>
          <w:lang w:eastAsia="zh-CN"/>
        </w:rPr>
        <w:t>、项目支出绩效自评表（每个一级项目支出一张表）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4</w:t>
      </w:r>
      <w:r>
        <w:rPr>
          <w:rFonts w:hint="eastAsia" w:eastAsia="仿宋_GB2312"/>
          <w:kern w:val="0"/>
          <w:sz w:val="32"/>
          <w:szCs w:val="32"/>
          <w:lang w:eastAsia="zh-CN"/>
        </w:rPr>
        <w:t>、政府性基金预算支出情况表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5</w:t>
      </w:r>
      <w:r>
        <w:rPr>
          <w:rFonts w:hint="eastAsia" w:eastAsia="仿宋_GB2312"/>
          <w:kern w:val="0"/>
          <w:sz w:val="32"/>
          <w:szCs w:val="32"/>
          <w:lang w:eastAsia="zh-CN"/>
        </w:rPr>
        <w:t>、国有资本经营预算支出情况表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6</w:t>
      </w:r>
      <w:r>
        <w:rPr>
          <w:rFonts w:hint="eastAsia" w:eastAsia="仿宋_GB2312"/>
          <w:kern w:val="0"/>
          <w:sz w:val="32"/>
          <w:szCs w:val="32"/>
          <w:lang w:eastAsia="zh-CN"/>
        </w:rPr>
        <w:t>、社会保险基金预算支出情况表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  <w:t>附件</w:t>
      </w:r>
      <w:r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val="en-US" w:eastAsia="zh-CN"/>
        </w:rPr>
        <w:t>5</w:t>
      </w:r>
    </w:p>
    <w:p>
      <w:pPr>
        <w:spacing w:before="201" w:line="578" w:lineRule="exact"/>
        <w:ind w:left="2169"/>
        <w:rPr>
          <w:rFonts w:ascii="黑体" w:hAnsi="黑体" w:eastAsia="黑体" w:cs="黑体"/>
          <w:sz w:val="42"/>
          <w:szCs w:val="42"/>
        </w:rPr>
      </w:pPr>
      <w:r>
        <w:rPr>
          <w:rFonts w:ascii="Times New Roman" w:hAnsi="Times New Roman" w:eastAsia="Times New Roman" w:cs="Times New Roman"/>
          <w:spacing w:val="15"/>
          <w:position w:val="10"/>
          <w:sz w:val="42"/>
          <w:szCs w:val="42"/>
        </w:rPr>
        <w:t>202</w:t>
      </w:r>
      <w:r>
        <w:rPr>
          <w:rFonts w:hint="eastAsia" w:ascii="Times New Roman" w:hAnsi="Times New Roman" w:eastAsia="宋体" w:cs="Times New Roman"/>
          <w:spacing w:val="15"/>
          <w:position w:val="10"/>
          <w:sz w:val="42"/>
          <w:szCs w:val="42"/>
          <w:lang w:val="en-US" w:eastAsia="zh-CN"/>
        </w:rPr>
        <w:t>2</w:t>
      </w:r>
      <w:r>
        <w:rPr>
          <w:rFonts w:ascii="Times New Roman" w:hAnsi="Times New Roman" w:eastAsia="Times New Roman" w:cs="Times New Roman"/>
          <w:spacing w:val="41"/>
          <w:position w:val="10"/>
          <w:sz w:val="42"/>
          <w:szCs w:val="42"/>
        </w:rPr>
        <w:t xml:space="preserve"> </w:t>
      </w:r>
      <w:r>
        <w:rPr>
          <w:rFonts w:ascii="黑体" w:hAnsi="黑体" w:eastAsia="黑体" w:cs="黑体"/>
          <w:spacing w:val="15"/>
          <w:position w:val="10"/>
          <w:sz w:val="42"/>
          <w:szCs w:val="42"/>
        </w:rPr>
        <w:t>年度</w:t>
      </w:r>
      <w:r>
        <w:rPr>
          <w:rFonts w:hint="eastAsia" w:ascii="Times New Roman" w:hAnsi="Times New Roman" w:eastAsia="宋体" w:cs="Times New Roman"/>
          <w:position w:val="10"/>
          <w:sz w:val="42"/>
          <w:szCs w:val="42"/>
          <w:lang w:eastAsia="zh-CN"/>
        </w:rPr>
        <w:t>非遗保护</w:t>
      </w:r>
      <w:r>
        <w:rPr>
          <w:rFonts w:ascii="黑体" w:hAnsi="黑体" w:eastAsia="黑体" w:cs="黑体"/>
          <w:spacing w:val="15"/>
          <w:position w:val="10"/>
          <w:sz w:val="42"/>
          <w:szCs w:val="42"/>
        </w:rPr>
        <w:t>项目支出</w:t>
      </w:r>
    </w:p>
    <w:p>
      <w:pPr>
        <w:spacing w:before="1" w:line="220" w:lineRule="auto"/>
        <w:ind w:left="3069"/>
        <w:rPr>
          <w:rFonts w:ascii="黑体" w:hAnsi="黑体" w:eastAsia="黑体" w:cs="黑体"/>
          <w:sz w:val="42"/>
          <w:szCs w:val="42"/>
        </w:rPr>
      </w:pPr>
      <w:r>
        <w:rPr>
          <w:rFonts w:ascii="黑体" w:hAnsi="黑体" w:eastAsia="黑体" w:cs="黑体"/>
          <w:spacing w:val="10"/>
          <w:sz w:val="42"/>
          <w:szCs w:val="42"/>
        </w:rPr>
        <w:t>绩效自评报告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89" w:line="221" w:lineRule="auto"/>
        <w:ind w:left="2270"/>
        <w:rPr>
          <w:sz w:val="27"/>
          <w:szCs w:val="27"/>
        </w:rPr>
      </w:pPr>
      <w:r>
        <w:rPr>
          <w:spacing w:val="-22"/>
          <w:sz w:val="27"/>
          <w:szCs w:val="27"/>
        </w:rPr>
        <w:t>部 门 ( 单</w:t>
      </w:r>
      <w:r>
        <w:rPr>
          <w:spacing w:val="-19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位</w:t>
      </w:r>
      <w:r>
        <w:rPr>
          <w:spacing w:val="-43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)</w:t>
      </w:r>
      <w:r>
        <w:rPr>
          <w:spacing w:val="-36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名</w:t>
      </w:r>
      <w:r>
        <w:rPr>
          <w:spacing w:val="-37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称</w:t>
      </w:r>
      <w:r>
        <w:rPr>
          <w:spacing w:val="-54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：</w:t>
      </w:r>
      <w:r>
        <w:rPr>
          <w:spacing w:val="-22"/>
          <w:sz w:val="27"/>
          <w:szCs w:val="27"/>
          <w:u w:val="single" w:color="auto"/>
        </w:rPr>
        <w:t xml:space="preserve">   (</w:t>
      </w:r>
      <w:r>
        <w:rPr>
          <w:spacing w:val="68"/>
          <w:sz w:val="27"/>
          <w:szCs w:val="27"/>
          <w:u w:val="single" w:color="auto"/>
        </w:rPr>
        <w:t xml:space="preserve"> </w:t>
      </w:r>
      <w:r>
        <w:rPr>
          <w:spacing w:val="-22"/>
          <w:sz w:val="27"/>
          <w:szCs w:val="27"/>
          <w:u w:val="single" w:color="auto"/>
        </w:rPr>
        <w:t>盖</w:t>
      </w:r>
      <w:r>
        <w:rPr>
          <w:spacing w:val="64"/>
          <w:sz w:val="27"/>
          <w:szCs w:val="27"/>
          <w:u w:val="single" w:color="auto"/>
        </w:rPr>
        <w:t xml:space="preserve"> </w:t>
      </w:r>
      <w:r>
        <w:rPr>
          <w:spacing w:val="-22"/>
          <w:sz w:val="27"/>
          <w:szCs w:val="27"/>
          <w:u w:val="single" w:color="auto"/>
        </w:rPr>
        <w:t>章</w:t>
      </w:r>
      <w:r>
        <w:rPr>
          <w:spacing w:val="55"/>
          <w:sz w:val="27"/>
          <w:szCs w:val="27"/>
          <w:u w:val="single" w:color="auto"/>
        </w:rPr>
        <w:t xml:space="preserve"> </w:t>
      </w:r>
      <w:r>
        <w:rPr>
          <w:spacing w:val="-22"/>
          <w:sz w:val="27"/>
          <w:szCs w:val="27"/>
          <w:u w:val="single" w:color="auto"/>
        </w:rPr>
        <w:t>)</w:t>
      </w:r>
      <w:r>
        <w:rPr>
          <w:sz w:val="27"/>
          <w:szCs w:val="27"/>
          <w:u w:val="single" w:color="auto"/>
        </w:rPr>
        <w:t xml:space="preserve">     </w:t>
      </w:r>
    </w:p>
    <w:p>
      <w:pPr>
        <w:pStyle w:val="2"/>
        <w:spacing w:before="289" w:line="610" w:lineRule="exact"/>
        <w:ind w:left="3490"/>
        <w:rPr>
          <w:sz w:val="27"/>
          <w:szCs w:val="27"/>
        </w:rPr>
      </w:pPr>
      <w:r>
        <w:rPr>
          <w:rFonts w:hint="eastAsia"/>
          <w:spacing w:val="-13"/>
          <w:position w:val="26"/>
          <w:sz w:val="27"/>
          <w:szCs w:val="27"/>
          <w:lang w:val="en-US" w:eastAsia="zh-CN"/>
        </w:rPr>
        <w:t>2024</w:t>
      </w:r>
      <w:r>
        <w:rPr>
          <w:spacing w:val="-13"/>
          <w:position w:val="26"/>
          <w:sz w:val="27"/>
          <w:szCs w:val="27"/>
        </w:rPr>
        <w:t xml:space="preserve">年 </w:t>
      </w:r>
      <w:r>
        <w:rPr>
          <w:rFonts w:hint="eastAsia"/>
          <w:spacing w:val="-13"/>
          <w:position w:val="26"/>
          <w:sz w:val="27"/>
          <w:szCs w:val="27"/>
          <w:lang w:val="en-US" w:eastAsia="zh-CN"/>
        </w:rPr>
        <w:t>07</w:t>
      </w:r>
      <w:r>
        <w:rPr>
          <w:spacing w:val="-13"/>
          <w:position w:val="26"/>
          <w:sz w:val="27"/>
          <w:szCs w:val="27"/>
        </w:rPr>
        <w:t xml:space="preserve">  月</w:t>
      </w:r>
      <w:r>
        <w:rPr>
          <w:spacing w:val="12"/>
          <w:position w:val="26"/>
          <w:sz w:val="27"/>
          <w:szCs w:val="27"/>
        </w:rPr>
        <w:t xml:space="preserve"> </w:t>
      </w:r>
      <w:r>
        <w:rPr>
          <w:rFonts w:hint="eastAsia"/>
          <w:spacing w:val="12"/>
          <w:position w:val="26"/>
          <w:sz w:val="27"/>
          <w:szCs w:val="27"/>
          <w:lang w:val="en-US" w:eastAsia="zh-CN"/>
        </w:rPr>
        <w:t>09</w:t>
      </w:r>
      <w:r>
        <w:rPr>
          <w:spacing w:val="12"/>
          <w:position w:val="26"/>
          <w:sz w:val="27"/>
          <w:szCs w:val="27"/>
        </w:rPr>
        <w:t xml:space="preserve">  </w:t>
      </w:r>
      <w:r>
        <w:rPr>
          <w:spacing w:val="-13"/>
          <w:position w:val="26"/>
          <w:sz w:val="27"/>
          <w:szCs w:val="27"/>
        </w:rPr>
        <w:t>日</w:t>
      </w:r>
    </w:p>
    <w:p>
      <w:pPr>
        <w:pStyle w:val="2"/>
        <w:spacing w:before="1" w:line="223" w:lineRule="auto"/>
        <w:ind w:left="3560"/>
        <w:rPr>
          <w:sz w:val="24"/>
          <w:szCs w:val="24"/>
        </w:rPr>
      </w:pPr>
      <w:r>
        <w:rPr>
          <w:spacing w:val="7"/>
          <w:sz w:val="24"/>
          <w:szCs w:val="24"/>
        </w:rPr>
        <w:t>(此面为封面)</w:t>
      </w:r>
    </w:p>
    <w:p>
      <w:pPr>
        <w:spacing w:line="223" w:lineRule="auto"/>
        <w:rPr>
          <w:sz w:val="24"/>
          <w:szCs w:val="24"/>
        </w:rPr>
        <w:sectPr>
          <w:footerReference r:id="rId8" w:type="default"/>
          <w:pgSz w:w="11900" w:h="16820"/>
          <w:pgMar w:top="1429" w:right="1782" w:bottom="1158" w:left="1450" w:header="0" w:footer="850" w:gutter="0"/>
          <w:cols w:space="720" w:num="1"/>
        </w:sectPr>
      </w:pPr>
    </w:p>
    <w:p>
      <w:pPr>
        <w:spacing w:before="137" w:line="221" w:lineRule="auto"/>
        <w:ind w:left="2336"/>
        <w:rPr>
          <w:rFonts w:ascii="黑体" w:hAnsi="黑体" w:eastAsia="黑体" w:cs="黑体"/>
          <w:sz w:val="42"/>
          <w:szCs w:val="42"/>
        </w:rPr>
      </w:pPr>
      <w:r>
        <w:rPr>
          <w:rFonts w:ascii="黑体" w:hAnsi="黑体" w:eastAsia="黑体" w:cs="黑体"/>
          <w:b/>
          <w:bCs/>
          <w:spacing w:val="6"/>
          <w:sz w:val="42"/>
          <w:szCs w:val="42"/>
        </w:rPr>
        <w:t>项目支出绩效评价报告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一</w:t>
      </w:r>
      <w:r>
        <w:rPr>
          <w:rFonts w:ascii="黑体" w:hAnsi="黑体" w:eastAsia="黑体" w:cs="黑体"/>
          <w:spacing w:val="-15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、项目支出基本情况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15"/>
          <w:kern w:val="0"/>
          <w:sz w:val="31"/>
          <w:szCs w:val="31"/>
          <w:lang w:val="en-US" w:eastAsia="en-US" w:bidi="ar-SA"/>
        </w:rPr>
        <w:t>(一)项目支出概况。</w:t>
      </w:r>
      <w:r>
        <w:rPr>
          <w:rFonts w:hint="eastAsia" w:eastAsia="仿宋_GB2312"/>
          <w:kern w:val="0"/>
          <w:sz w:val="32"/>
          <w:szCs w:val="32"/>
          <w:lang w:eastAsia="zh-CN"/>
        </w:rPr>
        <w:t>主要包括项目支出决策背景及其主要内容。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hint="eastAsia" w:eastAsia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b/>
          <w:bCs/>
          <w:kern w:val="0"/>
          <w:sz w:val="32"/>
          <w:szCs w:val="32"/>
          <w:lang w:val="en-US" w:eastAsia="zh-CN"/>
        </w:rPr>
        <w:t>决策背景：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非遗对当代社会具有重要的意义，主要体现在以下几个方面：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1、文化传承：非遗文化代表了中国古老文化传承，保护和传承非遗文化能够延续中华民族的历史和传统。这是非遗最重要的价值之一。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2、文化多样性：非遗文化与各行各业都有着千丝万缕的联系，对于推动中国文化的多元化发展具有重要意义。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3、经济贡献：非遗文化也为旅游业提供了机会，吸引了很多国内外的游客，对旅游产业的发展和经济增长具有很大的促进作用。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4、文化认同：非遗文化是先辈通过日常生活的运用而留存到现代的文化财富，对遗产的文化认同感和历史感是始终不变的。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5、创新发展：随着族群所处环境、与自然界的相互联系和历史条件的变化，非遗文化不断得到创新。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为了更好地保护和传承非遗文化，应当在教育、政策、经济等方面进行深入研究和创新改革，推动非遗文化向更广泛的领域和层面传递，使之更加贴近现代社会和民众生活。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hint="eastAsia" w:eastAsia="仿宋_GB2312"/>
          <w:b/>
          <w:bCs/>
          <w:kern w:val="0"/>
          <w:sz w:val="32"/>
          <w:szCs w:val="32"/>
          <w:lang w:eastAsia="zh-CN"/>
        </w:rPr>
      </w:pPr>
      <w:r>
        <w:rPr>
          <w:rFonts w:hint="eastAsia" w:eastAsia="仿宋_GB2312"/>
          <w:b/>
          <w:bCs/>
          <w:kern w:val="0"/>
          <w:sz w:val="32"/>
          <w:szCs w:val="32"/>
          <w:lang w:eastAsia="zh-CN"/>
        </w:rPr>
        <w:t>项目支出主要内容：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项目资金全部用于非遗保护相关支出。包括：非遗展演展示活动、优化传承人队伍、充实非遗代表性项目等。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jc w:val="both"/>
        <w:textAlignment w:val="baseline"/>
        <w:rPr>
          <w:rFonts w:ascii="黑体" w:hAnsi="黑体" w:eastAsia="黑体" w:cs="黑体"/>
          <w:b/>
          <w:bCs/>
          <w:spacing w:val="-15"/>
          <w:sz w:val="31"/>
          <w:szCs w:val="3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(二)项目资金使用管理情况。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en-US" w:bidi="ar-SA"/>
        </w:rPr>
        <w:t>为了规范项目资金使用，提高资金效益，根据《中华人民共和国预算法》、《</w:t>
      </w: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非物质文化遗产</w:t>
      </w: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en-US" w:bidi="ar-SA"/>
        </w:rPr>
        <w:t>资金使用办法》等，制定</w:t>
      </w: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项目资金管理</w:t>
      </w: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en-US" w:bidi="ar-SA"/>
        </w:rPr>
        <w:t>办法。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en-US" w:bidi="ar-SA"/>
        </w:rPr>
        <w:t>本项目资金指</w:t>
      </w: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上级</w:t>
      </w: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en-US" w:bidi="ar-SA"/>
        </w:rPr>
        <w:t>下拨我</w:t>
      </w: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单位的非遗保护专项资金</w:t>
      </w: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en-US" w:bidi="ar-SA"/>
        </w:rPr>
        <w:t>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en-US" w:bidi="ar-SA"/>
        </w:rPr>
        <w:t>项目资金使用坚持“专款专用、程序合法、管理规范、注重绩效”的原则。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en-US" w:bidi="ar-SA"/>
        </w:rPr>
        <w:t>专项资金的管理和使用应当严格执行国家有关法律法规、财务规章制度和本办法的规定，并接受本级纪检、财政、审计和上级文化旅游</w:t>
      </w: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广电</w:t>
      </w: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en-US" w:bidi="ar-SA"/>
        </w:rPr>
        <w:t>主管部门的监督检查。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en-US" w:bidi="ar-SA"/>
        </w:rPr>
        <w:t>项目资金的使用必须纳入单位“三重一大”议事内容。相关讨论研究会议要邀请纪检组和局分管线领导参加集体审议。项目资金拨付由</w:t>
      </w: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我</w:t>
      </w:r>
      <w:r>
        <w:rPr>
          <w:rFonts w:hint="eastAsia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单位</w:t>
      </w: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en-US" w:bidi="ar-SA"/>
        </w:rPr>
        <w:t>会同财政局联合审批。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2" w:firstLineChars="200"/>
        <w:textAlignment w:val="baseline"/>
        <w:rPr>
          <w:rFonts w:hint="eastAsia" w:ascii="楷体" w:hAnsi="楷体" w:eastAsia="黑体" w:cs="楷体"/>
          <w:b/>
          <w:bCs/>
          <w:spacing w:val="6"/>
          <w:position w:val="16"/>
          <w:sz w:val="31"/>
          <w:szCs w:val="31"/>
          <w:lang w:eastAsia="zh-CN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15"/>
          <w:kern w:val="0"/>
          <w:sz w:val="31"/>
          <w:szCs w:val="31"/>
          <w:lang w:val="en-US" w:eastAsia="en-US" w:bidi="ar-SA"/>
        </w:rPr>
        <w:t>(三)项目支出绩效目标完成程度</w:t>
      </w:r>
      <w:r>
        <w:rPr>
          <w:rFonts w:hint="eastAsia" w:ascii="黑体" w:hAnsi="黑体" w:eastAsia="黑体" w:cs="黑体"/>
          <w:b/>
          <w:bCs/>
          <w:snapToGrid w:val="0"/>
          <w:color w:val="000000"/>
          <w:spacing w:val="-15"/>
          <w:kern w:val="0"/>
          <w:sz w:val="31"/>
          <w:szCs w:val="31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40" w:firstLineChars="200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绩效总目标：坚持以习近平新时代中国特色社会主义思想为指引，全面贯彻党的二十大精神，以创新、协调、绿色、开放、共享的理念，切实担负起新时代新的文化使命，始终锚定“十百千万”坐标定位，聚焦“一二三四”工作目标，深化推动现代公共文化服务体系建设，大力弘扬优秀传统文化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textAlignment w:val="baseline"/>
        <w:rPr>
          <w:rFonts w:hint="eastAsia" w:ascii="仿宋_GB2312" w:hAnsi="宋体" w:eastAsia="仿宋_GB2312" w:cs="宋体"/>
          <w:kern w:val="0"/>
          <w:lang w:eastAsia="zh-CN"/>
        </w:rPr>
      </w:pPr>
      <w:r>
        <w:rPr>
          <w:rFonts w:hint="eastAsia" w:ascii="楷体" w:hAnsi="楷体" w:eastAsia="楷体" w:cs="楷体"/>
          <w:b/>
          <w:bCs/>
          <w:spacing w:val="6"/>
          <w:position w:val="16"/>
          <w:sz w:val="31"/>
          <w:szCs w:val="31"/>
          <w:lang w:val="en-US" w:eastAsia="zh-CN"/>
        </w:rPr>
        <w:t xml:space="preserve">   </w:t>
      </w: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实际完成情况：</w:t>
      </w:r>
      <w:r>
        <w:rPr>
          <w:rFonts w:hint="eastAsia" w:ascii="仿宋_GB2312" w:hAnsi="宋体" w:eastAsia="仿宋_GB2312" w:cs="宋体"/>
          <w:kern w:val="0"/>
          <w:lang w:eastAsia="zh-CN"/>
        </w:rPr>
        <w:t>我馆配合市委市政府中心工作，围绕“非遗＋节庆”模式，依托元宵“抬故事”、端午划龙舟、中秋“耍宝塔”等非遗节庆资源，先后组织开展了2022“文化进万家—视频直播家乡年”暨汨罗市长乐镇第八届民间文化旅游节、湖南省“我们的节日·端午”主题活动、2022年新市古镇“中秋耍宝塔”文化旅游节等“我们的节日”非遗品牌节庆活动；按照文化和旅游部、省文旅厅要求，组织开展了汨罗市2022年“文化和自然遗产日”非遗宣传展示活动暨“汨罗江之夜·周三有约”品牌文化活动，非遗节目展演、非遗文创市集展销、非遗保护成果展览为八方游客送上一场非遗盛宴，彰显了罗城魅力；积极组织我市非遗项目参加了湖南省首届非遗博览会、第十四届省运会开幕式、岳阳市2022年“文化和自然遗产日”非遗宣传展示活动暨第三届非遗购物节、2022 首届中国·岳阳“洞庭 渔火季”、非遗流韵·蓝墨增辉”汨罗江流域非遗档案展、中国农民丰收节全国供销合作社（湖南汨罗）主题日等多项重大展览、展演活动，宣传推介本土非遗资源，让汨罗非遗展现新时代的光彩，迸发出新的活力。</w:t>
      </w:r>
    </w:p>
    <w:p>
      <w:pPr>
        <w:spacing w:line="600" w:lineRule="exact"/>
        <w:ind w:firstLine="640" w:firstLineChars="200"/>
        <w:jc w:val="both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2023年度我单位努力做好项目资金预算收入、支出以及管理工作，将预算及时公开到相关的信息网络平台，并在执行过程中积极对执行情况进行监控，对项目预算的资金进行全方位的监督和管理，使每一笔资金都能起到最大的使用效益。结合我单位实际情况合理分配资金、提升资金的产出效果、节约成本与资源、提高项目资金的使用效率的目的。在项目资金支出绩效方面都按规定严格执行，合理安排支出，使项目资金发挥出最大的效益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二、绩效评价工作情况</w:t>
      </w:r>
    </w:p>
    <w:p>
      <w:pPr>
        <w:spacing w:line="600" w:lineRule="exact"/>
        <w:ind w:firstLine="640" w:firstLineChars="200"/>
        <w:jc w:val="both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按照项目绩效目标相关信息，我单位组织相关人员，对项目资金投入情况、绩效目标完成情况、偏离绩效目标的原因和下一步改进措施进行了分析。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三 、项目支出主要绩效及评价结论</w:t>
      </w:r>
    </w:p>
    <w:p>
      <w:pPr>
        <w:spacing w:line="600" w:lineRule="exact"/>
        <w:ind w:firstLine="640" w:firstLineChars="200"/>
        <w:jc w:val="both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组织对“非遗保护”1个项目开展了部门评价，涉及一般公共预算支出50.71万元，政府性基金预算支出0万元，国有资本经营预算支出0万元。从评价情况来看，我馆配合市委市政府中心工作，围绕“非遗＋节庆”模式，依托元宵“抬故事”、端午划龙舟、中秋“耍宝塔”等非遗节庆资源，先后组织开展了2022“文化进万家—视频直播家乡年”暨汨罗市长乐镇第八届民间文化旅游节、湖南省“我们的节日·端午”主题活动、2022年新市古镇“中秋耍宝塔”文化旅游节等“我们的节日”非遗品牌节庆活动；按照文化和旅游部、省文旅厅要求，组织开展了汨罗市2022年“文化和自然遗产日”非遗宣传展示活动暨“汨罗江之夜·周三有约”品牌文化活动，非遗节目展演、非遗文创市集展销、非遗保护成果展览为八方游客送上一场非遗盛宴，彰显了罗城魅力；积极组织我市非遗项目参加了湖南省首届非遗博览会、第十四届省运会开幕式、岳阳市2022年“文化和自然遗产日”非遗宣传展示活动暨第三届非遗购物节、2022 首届中国·岳阳“洞庭 渔火季”、非遗流韵·蓝墨增辉”汨罗江流域非遗档案展、中国农民丰收节全国供销合作社（湖南汨罗）主题日等多项重大展览、展演活动，宣传推介本土非遗资源，让汨罗非遗展现新时代的光彩，迸发出新的活力。作为世界文化遗产的一部分，非遗文化是世界各国的珍贵财富。留存非遗文化的实物是非遗文化的载体，也是非遗文化的重要组成部分。应该加强非遗文化实物的保护和收藏，以便后人能够更好的了解非遗文化。按《中华人民共和国非物质文化遗产法》以及有关文件要求，必须安排专项经费予以保护。</w:t>
      </w:r>
    </w:p>
    <w:p>
      <w:pPr>
        <w:spacing w:line="600" w:lineRule="exact"/>
        <w:ind w:firstLine="640" w:firstLineChars="200"/>
        <w:jc w:val="both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对照项目绩效目标申报表的内容，本年度我单位非遗保护项目目标绩效完成情况良好。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四、 绩效评价指标分析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(一)项目支出决策情况</w:t>
      </w:r>
    </w:p>
    <w:p>
      <w:pPr>
        <w:spacing w:line="600" w:lineRule="exact"/>
        <w:ind w:firstLine="640" w:firstLineChars="200"/>
        <w:jc w:val="both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服务对象满意度指标达到以下目标：经口头询问采访，活动展演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展示现场观众满意度大于95%。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(二)项目执行过程情况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经济成本指标达到以下目标：控制成本，严格按预算指标进行。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社会成本指标达到以下目标：对社会发展可能造成的负面影响无。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生态环境成本指标达到以下目标：对自然生态环境造成的负面影响无。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(三)项目支出产出情况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数量指标达到以下目标：举办非遗展演展示活动大于或等于三场。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质量指标达到以下目标：力保各项活动圆满完成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100%。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时效指标达到以下目标：按上级规定时间或方案预定时间完成。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(四)项目支出效益情况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经济效益指标达到以下目标：通过各项活动增长本地旅游业的发展，带动了非遗文化市场经济。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社会效益指标达到以下目标：非遗宣传传播覆盖人群增长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5%。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生态效益指标达到以下目标：生态环境有所改善。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可持续影响指标达到以下目标：通过不定时开展非遗活动，对非遗保护传承的氛围获得长期影响。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五、主要经验及做法、存在的问题及原因分析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资金下达后，我单位严格按照《专项资金管理办法》，对专项资金的收支设专账记录，以保障单位实现绩效目标、提高预算执行效率、提升资金使用效益，并及时发现纠正绩效运行中存在的问题，对绩效监控中发现的绩效目标执行偏差和管理漏洞，及时采取有针对性的措施予以纠正，不断改进和加强预算绩效管理，确保绩效目标全面、如期完成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六、有关建议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outlineLvl w:val="0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无。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七、其他需要说明的问题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outlineLvl w:val="0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无。</w:t>
      </w:r>
    </w:p>
    <w:sectPr>
      <w:footerReference r:id="rId9" w:type="default"/>
      <w:pgSz w:w="11900" w:h="16820"/>
      <w:pgMar w:top="1755" w:right="1227" w:bottom="1485" w:left="1011" w:header="0" w:footer="91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067"/>
      <w:docPartObj>
        <w:docPartGallery w:val="autotext"/>
      </w:docPartObj>
    </w:sdtPr>
    <w:sdtEndPr>
      <w:rPr>
        <w:rFonts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>
        <w:pPr>
          <w:pStyle w:val="3"/>
          <w:jc w:val="right"/>
          <w:rPr>
            <w:rFonts w:asciiTheme="minorEastAsia" w:hAnsiTheme="minorEastAsia" w:eastAsiaTheme="minorEastAsia"/>
            <w:kern w:val="0"/>
            <w:sz w:val="28"/>
            <w:szCs w:val="28"/>
          </w:rPr>
        </w:pPr>
      </w:p>
    </w:sdtContent>
  </w:sdt>
  <w:p>
    <w:pPr>
      <w:spacing w:before="1" w:line="175" w:lineRule="auto"/>
      <w:ind w:left="444"/>
      <w:jc w:val="left"/>
      <w:rPr>
        <w:rFonts w:ascii="宋体" w:hAnsi="宋体" w:eastAsia="宋体" w:cs="宋体"/>
        <w:kern w:val="0"/>
        <w:sz w:val="26"/>
        <w:szCs w:val="2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066"/>
      <w:docPartObj>
        <w:docPartGallery w:val="autotext"/>
      </w:docPartObj>
    </w:sdtPr>
    <w:sdtEndPr>
      <w:rPr>
        <w:rFonts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>
        <w:pPr>
          <w:pStyle w:val="3"/>
          <w:jc w:val="left"/>
          <w:rPr>
            <w:rFonts w:asciiTheme="minorEastAsia" w:hAnsiTheme="minorEastAsia" w:eastAsiaTheme="minorEastAsia"/>
            <w:kern w:val="0"/>
            <w:sz w:val="28"/>
            <w:szCs w:val="28"/>
          </w:rPr>
        </w:pP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kern w:val="0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t xml:space="preserve"> 2 -</w: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end"/>
        </w:r>
      </w:p>
    </w:sdtContent>
  </w:sdt>
  <w:p>
    <w:pPr>
      <w:pStyle w:val="3"/>
      <w:jc w:val="left"/>
      <w:rPr>
        <w:rFonts w:eastAsiaTheme="minorEastAsia"/>
        <w:kern w:val="0"/>
        <w:lang w:eastAsia="zh-C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141"/>
      <w:docPartObj>
        <w:docPartGallery w:val="autotext"/>
      </w:docPartObj>
    </w:sdtPr>
    <w:sdtEndPr>
      <w:rPr>
        <w:rFonts w:hint="eastAsia"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>
        <w:pPr>
          <w:pStyle w:val="3"/>
          <w:jc w:val="right"/>
          <w:rPr>
            <w:rFonts w:asciiTheme="minorEastAsia" w:hAnsiTheme="minorEastAsia" w:eastAsiaTheme="minorEastAsia"/>
            <w:kern w:val="0"/>
          </w:rPr>
        </w:pPr>
      </w:p>
    </w:sdtContent>
  </w:sdt>
  <w:p>
    <w:pPr>
      <w:spacing w:line="14" w:lineRule="auto"/>
      <w:jc w:val="left"/>
      <w:rPr>
        <w:kern w:val="0"/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7" w:lineRule="auto"/>
      <w:jc w:val="right"/>
      <w:rPr>
        <w:rFonts w:ascii="宋体" w:hAnsi="宋体" w:eastAsia="宋体" w:cs="宋体"/>
        <w:sz w:val="31"/>
        <w:szCs w:val="31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274"/>
      <w:rPr>
        <w:rFonts w:ascii="宋体" w:hAnsi="宋体" w:eastAsia="宋体" w:cs="宋体"/>
        <w:sz w:val="31"/>
        <w:szCs w:val="3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YjllMGEyYmM2NWFhMjJlODQzNzdlN2QyZDVmYTE4NTQifQ=="/>
    <w:docVar w:name="KSO_WPS_MARK_KEY" w:val="c1d2d37f-82a8-405d-9389-2ab60b1585d8"/>
  </w:docVars>
  <w:rsids>
    <w:rsidRoot w:val="00000000"/>
    <w:rsid w:val="01AF3811"/>
    <w:rsid w:val="03795BF7"/>
    <w:rsid w:val="086E756B"/>
    <w:rsid w:val="0ACF37E5"/>
    <w:rsid w:val="0B400BC6"/>
    <w:rsid w:val="0B900166"/>
    <w:rsid w:val="0E68228D"/>
    <w:rsid w:val="10B81328"/>
    <w:rsid w:val="15276E52"/>
    <w:rsid w:val="19D32FBC"/>
    <w:rsid w:val="1B73544A"/>
    <w:rsid w:val="1E6A4395"/>
    <w:rsid w:val="25557A3D"/>
    <w:rsid w:val="26EA5ED7"/>
    <w:rsid w:val="27A93B82"/>
    <w:rsid w:val="2AE00186"/>
    <w:rsid w:val="308216BE"/>
    <w:rsid w:val="34FE1149"/>
    <w:rsid w:val="38966AC3"/>
    <w:rsid w:val="3A550786"/>
    <w:rsid w:val="3B7A130F"/>
    <w:rsid w:val="44934873"/>
    <w:rsid w:val="4CE52ABE"/>
    <w:rsid w:val="4F8B6063"/>
    <w:rsid w:val="52FA3F96"/>
    <w:rsid w:val="53D41E68"/>
    <w:rsid w:val="55850F17"/>
    <w:rsid w:val="57AE6D93"/>
    <w:rsid w:val="5C2E33CA"/>
    <w:rsid w:val="5D7045C2"/>
    <w:rsid w:val="5FB623A7"/>
    <w:rsid w:val="6C74425B"/>
    <w:rsid w:val="6E3851B0"/>
    <w:rsid w:val="7ED677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paragraph" w:styleId="3">
    <w:name w:val="footer"/>
    <w:qFormat/>
    <w:uiPriority w:val="99"/>
    <w:pPr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spacing w:line="560" w:lineRule="exact"/>
      <w:textAlignment w:val="baseline"/>
    </w:pPr>
    <w:rPr>
      <w:rFonts w:ascii="Arial" w:hAnsi="Arial" w:eastAsia="Arial" w:cs="Arial"/>
      <w:snapToGrid w:val="0"/>
      <w:color w:val="000000"/>
      <w:sz w:val="18"/>
      <w:szCs w:val="18"/>
      <w:lang w:val="en-US" w:eastAsia="en-US" w:bidi="ar-SA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9">
    <w:name w:val="List Paragraph"/>
    <w:unhideWhenUsed/>
    <w:qFormat/>
    <w:uiPriority w:val="99"/>
    <w:pPr>
      <w:kinsoku w:val="0"/>
      <w:autoSpaceDE w:val="0"/>
      <w:autoSpaceDN w:val="0"/>
      <w:adjustRightInd w:val="0"/>
      <w:snapToGrid w:val="0"/>
      <w:ind w:firstLine="420" w:firstLineChars="20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 w:hAnsiTheme="minorHAnsi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21</Pages>
  <Words>7918</Words>
  <Characters>8369</Characters>
  <TotalTime>4</TotalTime>
  <ScaleCrop>false</ScaleCrop>
  <LinksUpToDate>false</LinksUpToDate>
  <CharactersWithSpaces>8486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2024-04-19T21:25:00Z</dcterms:created>
  <dc:creator>Administrator</dc:creator>
  <cp:lastModifiedBy>WPS_1656574772</cp:lastModifiedBy>
  <cp:lastPrinted>2024-07-09T06:10:42Z</cp:lastPrinted>
  <dcterms:modified xsi:type="dcterms:W3CDTF">2024-07-09T06:35:14Z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2024-04-19T21:25:46Z</vt:filetime>
  </property>
  <property fmtid="{D5CDD505-2E9C-101B-9397-08002B2CF9AE}" pid="4" name="UsrData">
    <vt:lpwstr>662270d4e44a44001f699c5cwl</vt:lpwstr>
  </property>
  <property fmtid="{D5CDD505-2E9C-101B-9397-08002B2CF9AE}" pid="5" name="KSOProductBuildVer">
    <vt:lpwstr>2052-11.1.0.14309</vt:lpwstr>
  </property>
  <property fmtid="{D5CDD505-2E9C-101B-9397-08002B2CF9AE}" pid="6" name="ICV">
    <vt:lpwstr>A1E9AC54BF58440288AD196632C2A254_12</vt:lpwstr>
  </property>
</Properties>
</file>