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附件1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单位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整体支出绩效评价基础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数据表</w:t>
      </w:r>
    </w:p>
    <w:p>
      <w:pPr>
        <w:spacing w:line="177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4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财政供养人员情况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人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编制数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控制率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经费控制情况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“</w:t>
            </w:r>
            <w:r>
              <w:rPr>
                <w:rFonts w:hint="eastAsia" w:ascii="仿宋_GB2312" w:hAnsi="宋体" w:eastAsia="仿宋_GB2312" w:cs="宋体"/>
                <w:kern w:val="0"/>
              </w:rPr>
              <w:t>三公</w:t>
            </w: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”</w:t>
            </w:r>
            <w:r>
              <w:rPr>
                <w:rFonts w:hint="eastAsia" w:ascii="仿宋_GB2312" w:hAnsi="宋体" w:eastAsia="仿宋_GB2312" w:cs="宋体"/>
                <w:kern w:val="0"/>
              </w:rPr>
              <w:t>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1260" w:firstLineChars="600"/>
              <w:jc w:val="left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840" w:firstLineChars="4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其中：公车购置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</w:rPr>
              <w:t>公车运行维护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、县级专项资金</w:t>
            </w:r>
          </w:p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一个专项一行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公用经费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7.24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7.24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其中：办公经费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</w:rPr>
              <w:t>水费、电费、差旅费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1050" w:firstLineChars="5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会议费、培训费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政府采购金额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7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楼堂馆所控制情况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年完工项目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批复规模</w:t>
            </w:r>
            <w:r>
              <w:rPr>
                <w:rFonts w:hint="eastAsia" w:ascii="仿宋_GB2312" w:eastAsia="仿宋_GB2312"/>
                <w:kern w:val="0"/>
              </w:rPr>
              <w:t xml:space="preserve"> 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实际规模</w:t>
            </w:r>
            <w:r>
              <w:rPr>
                <w:rFonts w:hint="eastAsia" w:ascii="仿宋_GB2312" w:eastAsia="仿宋_GB2312"/>
                <w:kern w:val="0"/>
              </w:rPr>
              <w:t>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规模控制率</w:t>
            </w:r>
          </w:p>
        </w:tc>
        <w:tc>
          <w:tcPr>
            <w:tcW w:w="107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预算投资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3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实际投资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4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投</w:t>
            </w:r>
            <w:r>
              <w:rPr>
                <w:rFonts w:hint="eastAsia" w:ascii="仿宋_GB2312" w:hAnsi="宋体" w:eastAsia="仿宋_GB2312" w:cs="宋体"/>
                <w:kern w:val="0"/>
              </w:rPr>
              <w:t>资概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算控</w:t>
            </w:r>
            <w:r>
              <w:rPr>
                <w:rFonts w:hint="eastAsia" w:ascii="仿宋_GB2312" w:hAnsi="宋体" w:eastAsia="仿宋_GB2312" w:cs="宋体"/>
                <w:kern w:val="0"/>
              </w:rPr>
              <w:t>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60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7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3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4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271" w:type="dxa"/>
            <w:vAlign w:val="center"/>
          </w:tcPr>
          <w:p>
            <w:pPr>
              <w:spacing w:before="128" w:line="201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spacing w:line="240" w:lineRule="auto"/>
        <w:jc w:val="left"/>
        <w:rPr>
          <w:rFonts w:ascii="仿宋_GB2312" w:eastAsia="仿宋_GB2312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说明：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项目支出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需要填报基本支出以外的所有项目支出情况，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公用经费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填报基本支出中的一般商品和服务支出。</w:t>
      </w:r>
    </w:p>
    <w:p>
      <w:pPr>
        <w:spacing w:before="117" w:line="219" w:lineRule="auto"/>
        <w:jc w:val="left"/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</w:pPr>
    </w:p>
    <w:p>
      <w:pPr>
        <w:spacing w:before="117" w:line="219" w:lineRule="auto"/>
        <w:jc w:val="left"/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向葵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2024年7月3日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15074083078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黄青竹</w:t>
      </w:r>
    </w:p>
    <w:p>
      <w:pPr>
        <w:spacing w:before="117" w:line="219" w:lineRule="auto"/>
        <w:ind w:firstLine="616"/>
        <w:jc w:val="left"/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</w:pPr>
    </w:p>
    <w:p>
      <w:pPr>
        <w:spacing w:before="117" w:line="219" w:lineRule="auto"/>
        <w:ind w:firstLine="616"/>
        <w:jc w:val="left"/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</w:pPr>
    </w:p>
    <w:p>
      <w:pPr>
        <w:spacing w:before="117" w:line="219" w:lineRule="auto"/>
        <w:ind w:firstLine="616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附件2</w:t>
      </w:r>
    </w:p>
    <w:p>
      <w:pPr>
        <w:spacing w:before="117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单位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整体支出绩效自评表</w:t>
      </w:r>
    </w:p>
    <w:p>
      <w:pPr>
        <w:spacing w:line="237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979" w:type="dxa"/>
        <w:tblInd w:w="-7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069"/>
        <w:gridCol w:w="1029"/>
        <w:gridCol w:w="1249"/>
        <w:gridCol w:w="1298"/>
        <w:gridCol w:w="1269"/>
        <w:gridCol w:w="699"/>
        <w:gridCol w:w="869"/>
        <w:gridCol w:w="14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07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预算部门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名称</w:t>
            </w:r>
          </w:p>
        </w:tc>
        <w:tc>
          <w:tcPr>
            <w:tcW w:w="8905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汨罗市罗城医院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年度预算申请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执行数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执行率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年度资金总额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2.5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2.5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259.49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按收入性质分：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259.49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按支出性质分：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259.49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其中：一般公共预算：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13.77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其中：基本支出：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259.49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政府性基金拨款：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其他资金：245.72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</w:rPr>
              <w:t>目标</w:t>
            </w: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分析及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249" w:type="dxa"/>
            <w:vAlign w:val="top"/>
          </w:tcPr>
          <w:p>
            <w:pPr>
              <w:pStyle w:val="8"/>
              <w:rPr>
                <w:rFonts w:ascii="Arial" w:hAnsi="Arial" w:eastAsia="Arial" w:cs="Arial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rFonts w:hint="eastAsia"/>
                <w:sz w:val="16"/>
                <w:szCs w:val="16"/>
              </w:rPr>
              <w:t>确保100%完成保障民生工作任务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15"/>
                <w:szCs w:val="15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100%</w:t>
            </w:r>
          </w:p>
        </w:tc>
        <w:tc>
          <w:tcPr>
            <w:tcW w:w="12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15"/>
                <w:szCs w:val="15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100%</w:t>
            </w:r>
          </w:p>
        </w:tc>
        <w:tc>
          <w:tcPr>
            <w:tcW w:w="699" w:type="dxa"/>
            <w:vAlign w:val="top"/>
          </w:tcPr>
          <w:p>
            <w:pPr>
              <w:pStyle w:val="8"/>
              <w:rPr>
                <w:sz w:val="16"/>
                <w:szCs w:val="16"/>
              </w:rPr>
            </w:pPr>
          </w:p>
          <w:p>
            <w:pPr>
              <w:bidi w:val="0"/>
              <w:ind w:firstLine="380" w:firstLineChars="0"/>
              <w:jc w:val="left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86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423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249" w:type="dxa"/>
            <w:vAlign w:val="top"/>
          </w:tcPr>
          <w:p>
            <w:pPr>
              <w:pStyle w:val="8"/>
              <w:rPr>
                <w:rFonts w:ascii="Arial" w:hAnsi="Arial" w:eastAsia="Arial" w:cs="Arial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rFonts w:hint="eastAsia"/>
                <w:sz w:val="16"/>
                <w:szCs w:val="16"/>
              </w:rPr>
              <w:t>本年收入</w:t>
            </w: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200</w:t>
            </w:r>
            <w:r>
              <w:rPr>
                <w:rFonts w:hint="eastAsia"/>
                <w:sz w:val="16"/>
                <w:szCs w:val="16"/>
              </w:rPr>
              <w:t>万元</w:t>
            </w:r>
          </w:p>
        </w:tc>
        <w:tc>
          <w:tcPr>
            <w:tcW w:w="1298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200万元</w:t>
            </w:r>
          </w:p>
        </w:tc>
        <w:tc>
          <w:tcPr>
            <w:tcW w:w="126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332.86万元</w:t>
            </w:r>
          </w:p>
        </w:tc>
        <w:tc>
          <w:tcPr>
            <w:tcW w:w="69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86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423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249" w:type="dxa"/>
            <w:vAlign w:val="top"/>
          </w:tcPr>
          <w:p>
            <w:pPr>
              <w:pStyle w:val="8"/>
              <w:rPr>
                <w:rFonts w:ascii="Arial" w:hAnsi="Arial" w:eastAsia="Arial" w:cs="Arial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rFonts w:hint="eastAsia"/>
                <w:sz w:val="16"/>
                <w:szCs w:val="16"/>
              </w:rPr>
              <w:t>202</w:t>
            </w: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3</w:t>
            </w:r>
            <w:r>
              <w:rPr>
                <w:rFonts w:hint="eastAsia"/>
                <w:sz w:val="16"/>
                <w:szCs w:val="16"/>
              </w:rPr>
              <w:t>年完成绩效目标</w:t>
            </w:r>
          </w:p>
        </w:tc>
        <w:tc>
          <w:tcPr>
            <w:tcW w:w="1298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及时完成</w:t>
            </w:r>
          </w:p>
        </w:tc>
        <w:tc>
          <w:tcPr>
            <w:tcW w:w="126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90%完成</w:t>
            </w:r>
          </w:p>
        </w:tc>
        <w:tc>
          <w:tcPr>
            <w:tcW w:w="69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86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1423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没有及时完成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  <w:r>
              <w:rPr>
                <w:rFonts w:hint="eastAsia" w:ascii="仿宋_GB2312" w:eastAsia="仿宋_GB2312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249" w:type="dxa"/>
            <w:vAlign w:val="top"/>
          </w:tcPr>
          <w:p>
            <w:pPr>
              <w:pStyle w:val="8"/>
              <w:rPr>
                <w:rFonts w:ascii="Arial" w:hAnsi="Arial" w:eastAsia="Arial" w:cs="Arial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rFonts w:hint="eastAsia"/>
                <w:sz w:val="16"/>
                <w:szCs w:val="16"/>
              </w:rPr>
              <w:t>医疗收入及成果</w:t>
            </w:r>
          </w:p>
        </w:tc>
        <w:tc>
          <w:tcPr>
            <w:tcW w:w="1298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完成指标</w:t>
            </w:r>
          </w:p>
        </w:tc>
        <w:tc>
          <w:tcPr>
            <w:tcW w:w="1269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及时完成</w:t>
            </w:r>
          </w:p>
        </w:tc>
        <w:tc>
          <w:tcPr>
            <w:tcW w:w="69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86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423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医疗收入未明显增加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249" w:type="dxa"/>
            <w:vAlign w:val="top"/>
          </w:tcPr>
          <w:p>
            <w:pPr>
              <w:pStyle w:val="8"/>
              <w:rPr>
                <w:rFonts w:ascii="Arial" w:hAnsi="Arial" w:eastAsia="Arial" w:cs="Arial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rFonts w:hint="eastAsia"/>
                <w:sz w:val="16"/>
                <w:szCs w:val="16"/>
              </w:rPr>
              <w:t>改善服务病友的就医体验</w:t>
            </w:r>
          </w:p>
        </w:tc>
        <w:tc>
          <w:tcPr>
            <w:tcW w:w="1298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效益显著</w:t>
            </w:r>
          </w:p>
        </w:tc>
        <w:tc>
          <w:tcPr>
            <w:tcW w:w="1269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效益显著提高</w:t>
            </w:r>
          </w:p>
        </w:tc>
        <w:tc>
          <w:tcPr>
            <w:tcW w:w="69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86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249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坚持绿色环保</w:t>
            </w:r>
          </w:p>
        </w:tc>
        <w:tc>
          <w:tcPr>
            <w:tcW w:w="1298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效果显著</w:t>
            </w:r>
          </w:p>
        </w:tc>
        <w:tc>
          <w:tcPr>
            <w:tcW w:w="1269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效果显著</w:t>
            </w:r>
          </w:p>
        </w:tc>
        <w:tc>
          <w:tcPr>
            <w:tcW w:w="69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86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249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坚持可持续发展</w:t>
            </w:r>
          </w:p>
        </w:tc>
        <w:tc>
          <w:tcPr>
            <w:tcW w:w="1298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逐步实行</w:t>
            </w:r>
          </w:p>
        </w:tc>
        <w:tc>
          <w:tcPr>
            <w:tcW w:w="1269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eastAsia="zh-CN"/>
              </w:rPr>
              <w:t>效果显著</w:t>
            </w:r>
          </w:p>
        </w:tc>
        <w:tc>
          <w:tcPr>
            <w:tcW w:w="69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86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249" w:type="dxa"/>
            <w:vAlign w:val="top"/>
          </w:tcPr>
          <w:p>
            <w:pPr>
              <w:pStyle w:val="8"/>
              <w:rPr>
                <w:rFonts w:ascii="Arial" w:hAnsi="Arial" w:eastAsia="Arial" w:cs="Arial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rFonts w:hint="eastAsia"/>
                <w:sz w:val="16"/>
                <w:szCs w:val="16"/>
              </w:rPr>
              <w:t>就医病友对相关工作的满意度</w:t>
            </w:r>
          </w:p>
        </w:tc>
        <w:tc>
          <w:tcPr>
            <w:tcW w:w="1298" w:type="dxa"/>
            <w:vAlign w:val="top"/>
          </w:tcPr>
          <w:p>
            <w:pPr>
              <w:pStyle w:val="8"/>
              <w:rPr>
                <w:sz w:val="16"/>
                <w:szCs w:val="16"/>
              </w:rPr>
            </w:pPr>
          </w:p>
          <w:p>
            <w:pPr>
              <w:bidi w:val="0"/>
              <w:jc w:val="left"/>
              <w:rPr>
                <w:rFonts w:ascii="Arial" w:hAnsi="Arial" w:eastAsia="Arial" w:cs="Arial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rFonts w:hint="eastAsia"/>
                <w:sz w:val="16"/>
                <w:szCs w:val="16"/>
              </w:rPr>
              <w:t>≥90%</w:t>
            </w:r>
          </w:p>
        </w:tc>
        <w:tc>
          <w:tcPr>
            <w:tcW w:w="126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97%</w:t>
            </w:r>
          </w:p>
        </w:tc>
        <w:tc>
          <w:tcPr>
            <w:tcW w:w="69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86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eastAsia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249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eastAsia="zh-CN"/>
              </w:rPr>
              <w:t>降低成本</w:t>
            </w:r>
          </w:p>
        </w:tc>
        <w:tc>
          <w:tcPr>
            <w:tcW w:w="1298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eastAsia="zh-CN"/>
              </w:rPr>
              <w:t>逐步降低</w:t>
            </w:r>
          </w:p>
        </w:tc>
        <w:tc>
          <w:tcPr>
            <w:tcW w:w="1269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eastAsia="zh-CN"/>
              </w:rPr>
              <w:t>逐步降低</w:t>
            </w:r>
          </w:p>
        </w:tc>
        <w:tc>
          <w:tcPr>
            <w:tcW w:w="69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6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23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eastAsia="zh-CN"/>
              </w:rPr>
              <w:t>成本控制不够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249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eastAsia="zh-CN"/>
              </w:rPr>
              <w:t>降低成本</w:t>
            </w:r>
          </w:p>
        </w:tc>
        <w:tc>
          <w:tcPr>
            <w:tcW w:w="1298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eastAsia="zh-CN"/>
              </w:rPr>
              <w:t>逐步降低</w:t>
            </w:r>
          </w:p>
        </w:tc>
        <w:tc>
          <w:tcPr>
            <w:tcW w:w="1269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eastAsia="zh-CN"/>
              </w:rPr>
              <w:t>逐步降低</w:t>
            </w:r>
          </w:p>
        </w:tc>
        <w:tc>
          <w:tcPr>
            <w:tcW w:w="69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69" w:type="dxa"/>
            <w:vAlign w:val="top"/>
          </w:tcPr>
          <w:p>
            <w:pPr>
              <w:pStyle w:val="8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23" w:type="dxa"/>
            <w:vAlign w:val="top"/>
          </w:tcPr>
          <w:p>
            <w:pPr>
              <w:pStyle w:val="8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18"/>
                <w:szCs w:val="18"/>
                <w:lang w:eastAsia="zh-CN"/>
              </w:rPr>
              <w:t>成本控制不够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988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93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988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</w:tbl>
    <w:p>
      <w:pPr>
        <w:kinsoku w:val="0"/>
        <w:autoSpaceDE w:val="0"/>
        <w:autoSpaceDN w:val="0"/>
        <w:adjustRightInd w:val="0"/>
        <w:snapToGrid w:val="0"/>
        <w:spacing w:before="293" w:line="236" w:lineRule="auto"/>
        <w:textAlignment w:val="baseline"/>
        <w:rPr>
          <w:rFonts w:hint="default"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向葵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2024年7月3日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15074083078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黄青竹</w:t>
      </w: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  <w:t>附件3</w:t>
      </w:r>
    </w:p>
    <w:p>
      <w:pPr>
        <w:spacing w:before="91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年度项目支出绩效自评表</w:t>
      </w:r>
    </w:p>
    <w:p>
      <w:pPr>
        <w:spacing w:line="95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5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实施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项目资金 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万元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其中：当年财政拨款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上年结转资金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年度总体目标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14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14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</w:tc>
        <w:tc>
          <w:tcPr>
            <w:tcW w:w="105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21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偏差原因分析及改进措施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</w:t>
            </w:r>
            <w:r>
              <w:rPr>
                <w:rFonts w:ascii="仿宋_GB2312" w:hAnsi="宋体" w:eastAsia="仿宋_GB2312" w:cs="宋体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  <w:r>
              <w:rPr>
                <w:rFonts w:ascii="仿宋_GB2312" w:hAnsi="宋体" w:eastAsia="仿宋_GB2312" w:cs="宋体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6549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总分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100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</w:tbl>
    <w:p>
      <w:pPr>
        <w:spacing w:before="52" w:line="219" w:lineRule="auto"/>
        <w:jc w:val="left"/>
        <w:rPr>
          <w:rFonts w:ascii="仿宋_GB2312" w:hAnsi="宋体" w:eastAsia="仿宋_GB2312" w:cs="宋体"/>
          <w:kern w:val="0"/>
          <w:lang w:eastAsia="zh-CN"/>
        </w:rPr>
      </w:pPr>
      <w:r>
        <w:rPr>
          <w:rFonts w:ascii="仿宋_GB2312" w:hAnsi="宋体" w:eastAsia="仿宋_GB2312" w:cs="宋体"/>
          <w:kern w:val="0"/>
          <w:lang w:eastAsia="zh-CN"/>
        </w:rPr>
        <w:t>备注： 一个一级项目支出一张表。如，业务工作经费，运行维护经费，其他事业发展类资金…各一张表.</w:t>
      </w:r>
    </w:p>
    <w:p>
      <w:pPr>
        <w:spacing w:line="240" w:lineRule="auto"/>
        <w:ind w:firstLine="420"/>
        <w:jc w:val="left"/>
        <w:rPr>
          <w:rFonts w:ascii="宋体" w:hAnsi="宋体" w:eastAsia="宋体" w:cs="宋体"/>
          <w:kern w:val="0"/>
          <w:lang w:eastAsia="zh-CN"/>
        </w:rPr>
      </w:pPr>
    </w:p>
    <w:p>
      <w:pPr>
        <w:rPr>
          <w:rFonts w:hint="default" w:ascii="仿宋_GB2312" w:hAnsi="宋体" w:eastAsia="仿宋_GB2312" w:cs="宋体"/>
          <w:lang w:val="en-US" w:eastAsia="zh-CN"/>
        </w:rPr>
        <w:sectPr>
          <w:footerReference r:id="rId5" w:type="default"/>
          <w:pgSz w:w="11907" w:h="16839"/>
          <w:pgMar w:top="1531" w:right="1474" w:bottom="1531" w:left="1587" w:header="0" w:footer="1588" w:gutter="0"/>
          <w:pgNumType w:fmt="numberInDash"/>
          <w:cols w:space="720" w:num="1"/>
          <w:docGrid w:linePitch="286" w:charSpace="0"/>
        </w:sectPr>
      </w:pPr>
      <w:r>
        <w:rPr>
          <w:rFonts w:hint="eastAsia" w:ascii="仿宋_GB2312" w:hAnsi="宋体" w:eastAsia="仿宋_GB2312" w:cs="宋体"/>
          <w:kern w:val="0"/>
          <w:lang w:eastAsia="zh-CN"/>
        </w:rPr>
        <w:t>填表人：</w:t>
      </w:r>
      <w:r>
        <w:rPr>
          <w:rFonts w:hint="eastAsia" w:ascii="仿宋_GB2312" w:hAnsi="宋体" w:eastAsia="仿宋_GB2312" w:cs="宋体"/>
          <w:kern w:val="0"/>
          <w:lang w:val="en-US" w:eastAsia="zh-CN"/>
        </w:rPr>
        <w:t xml:space="preserve">向葵 </w:t>
      </w:r>
      <w:r>
        <w:rPr>
          <w:rFonts w:hint="eastAsia" w:ascii="仿宋_GB2312" w:hAnsi="宋体" w:eastAsia="仿宋_GB2312" w:cs="宋体"/>
          <w:kern w:val="0"/>
          <w:lang w:eastAsia="zh-CN"/>
        </w:rPr>
        <w:t>填报日期：</w:t>
      </w:r>
      <w:r>
        <w:rPr>
          <w:rFonts w:hint="eastAsia" w:ascii="仿宋_GB2312" w:hAnsi="宋体" w:eastAsia="仿宋_GB2312" w:cs="宋体"/>
          <w:kern w:val="0"/>
          <w:lang w:val="en-US" w:eastAsia="zh-CN"/>
        </w:rPr>
        <w:t>2024年7月3日</w:t>
      </w:r>
      <w:r>
        <w:rPr>
          <w:rFonts w:ascii="仿宋_GB2312" w:hAnsi="宋体" w:eastAsia="仿宋_GB2312" w:cs="宋体"/>
          <w:kern w:val="0"/>
          <w:lang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lang w:eastAsia="zh-CN"/>
        </w:rPr>
        <w:t>联系电话：</w:t>
      </w:r>
      <w:r>
        <w:rPr>
          <w:rFonts w:hint="eastAsia" w:ascii="仿宋_GB2312" w:hAnsi="宋体" w:eastAsia="仿宋_GB2312" w:cs="宋体"/>
          <w:kern w:val="0"/>
          <w:lang w:val="en-US" w:eastAsia="zh-CN"/>
        </w:rPr>
        <w:t>15074083078</w:t>
      </w:r>
      <w:r>
        <w:rPr>
          <w:rFonts w:ascii="仿宋_GB2312" w:hAnsi="宋体" w:eastAsia="仿宋_GB2312" w:cs="宋体"/>
          <w:kern w:val="0"/>
          <w:lang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lang w:eastAsia="zh-CN"/>
        </w:rPr>
        <w:t>单位负责人签字:</w:t>
      </w:r>
      <w:r>
        <w:rPr>
          <w:rFonts w:hint="eastAsia" w:ascii="仿宋_GB2312" w:hAnsi="宋体" w:eastAsia="仿宋_GB2312" w:cs="宋体"/>
          <w:kern w:val="0"/>
          <w:lang w:val="en-US" w:eastAsia="zh-CN"/>
        </w:rPr>
        <w:t>黄青竹</w:t>
      </w: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附件4</w:t>
      </w: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eastAsia="方正小标宋简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年度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汨罗市罗城医院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部门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(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单位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)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整体支出</w:t>
      </w:r>
    </w:p>
    <w:p>
      <w:pPr>
        <w:spacing w:line="240" w:lineRule="auto"/>
        <w:ind w:firstLine="880"/>
        <w:jc w:val="center"/>
        <w:rPr>
          <w:rFonts w:ascii="方正小标宋简体" w:eastAsia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绩效自评报告</w:t>
      </w:r>
    </w:p>
    <w:p>
      <w:pPr>
        <w:spacing w:line="240" w:lineRule="auto"/>
        <w:ind w:firstLine="880"/>
        <w:jc w:val="center"/>
        <w:rPr>
          <w:rFonts w:ascii="方正小标宋简体" w:eastAsia="方正小标宋简体"/>
          <w:kern w:val="0"/>
          <w:sz w:val="44"/>
          <w:szCs w:val="44"/>
          <w:lang w:eastAsia="zh-CN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  <w:t>单位名称:汨罗市罗城医院</w:t>
      </w: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u w:val="single"/>
          <w:lang w:val="en-US" w:eastAsia="zh-CN" w:bidi="ar-SA"/>
        </w:rPr>
        <w:t>(盖章)</w:t>
      </w:r>
    </w:p>
    <w:p>
      <w:pPr>
        <w:spacing w:before="274" w:line="225" w:lineRule="auto"/>
        <w:ind w:firstLine="617"/>
        <w:jc w:val="center"/>
        <w:rPr>
          <w:rFonts w:ascii="楷体_GB2312" w:hAnsi="楷体" w:eastAsia="楷体_GB2312" w:cs="楷体"/>
          <w:kern w:val="0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 xml:space="preserve">2023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 xml:space="preserve">年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 xml:space="preserve">7 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 xml:space="preserve">月 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val="en-US" w:eastAsia="zh-CN"/>
        </w:rPr>
        <w:t xml:space="preserve">3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>日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  <w:t>(此页为封面)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pStyle w:val="3"/>
        <w:jc w:val="left"/>
        <w:rPr>
          <w:rFonts w:asciiTheme="minorEastAsia" w:hAnsiTheme="minorEastAsia" w:eastAsiaTheme="minorEastAsia"/>
          <w:kern w:val="0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ascii="黑体" w:hAnsi="黑体" w:eastAsia="黑体" w:cs="黑体"/>
          <w:spacing w:val="16"/>
          <w:sz w:val="40"/>
          <w:szCs w:val="40"/>
        </w:rPr>
      </w:pPr>
      <w:r>
        <w:rPr>
          <w:rFonts w:ascii="黑体" w:hAnsi="黑体" w:eastAsia="黑体" w:cs="黑体"/>
          <w:spacing w:val="16"/>
          <w:sz w:val="40"/>
          <w:szCs w:val="40"/>
        </w:rPr>
        <w:t>202</w:t>
      </w:r>
      <w:r>
        <w:rPr>
          <w:rFonts w:hint="eastAsia" w:ascii="黑体" w:hAnsi="黑体" w:eastAsia="黑体" w:cs="黑体"/>
          <w:spacing w:val="16"/>
          <w:sz w:val="40"/>
          <w:szCs w:val="40"/>
          <w:lang w:val="en-US" w:eastAsia="zh-CN"/>
        </w:rPr>
        <w:t>2</w:t>
      </w:r>
      <w:r>
        <w:rPr>
          <w:rFonts w:ascii="黑体" w:hAnsi="黑体" w:eastAsia="黑体" w:cs="黑体"/>
          <w:spacing w:val="16"/>
          <w:sz w:val="40"/>
          <w:szCs w:val="40"/>
        </w:rPr>
        <w:t>年度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汨罗市罗城医院</w:t>
      </w:r>
      <w:r>
        <w:rPr>
          <w:rFonts w:ascii="黑体" w:hAnsi="黑体" w:eastAsia="黑体" w:cs="黑体"/>
          <w:spacing w:val="16"/>
          <w:sz w:val="40"/>
          <w:szCs w:val="40"/>
        </w:rPr>
        <w:t>部门整体支出绩效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自</w:t>
      </w:r>
      <w:r>
        <w:rPr>
          <w:rFonts w:ascii="黑体" w:hAnsi="黑体" w:eastAsia="黑体" w:cs="黑体"/>
          <w:spacing w:val="82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评</w:t>
      </w:r>
      <w:r>
        <w:rPr>
          <w:rFonts w:ascii="黑体" w:hAnsi="黑体" w:eastAsia="黑体" w:cs="黑体"/>
          <w:spacing w:val="79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报</w:t>
      </w:r>
      <w:r>
        <w:rPr>
          <w:rFonts w:ascii="黑体" w:hAnsi="黑体" w:eastAsia="黑体" w:cs="黑体"/>
          <w:spacing w:val="87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告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  <w:bookmarkStart w:id="0" w:name="_GoBack"/>
      <w:bookmarkEnd w:id="0"/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40"/>
        <w:jc w:val="both"/>
        <w:textAlignment w:val="baseline"/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一、部门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(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单位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)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基本情况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 xml:space="preserve">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（一）本院主要从事血吸虫病治疗的专科医院，并设有内科、血吸虫病科、中医理疗科、牙科、等临床科室，医技科室有B超、放射、检验、心电图等。社卫中心设有公卫科、妇保科、儿保科、计免科（预防接种）、健康教育及计划生育技术指导等。</w:t>
      </w:r>
    </w:p>
    <w:p>
      <w:pPr>
        <w:spacing w:line="600" w:lineRule="exact"/>
        <w:ind w:firstLine="640" w:firstLineChars="200"/>
        <w:jc w:val="both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（二）本院收入主要用于血吸虫病人的门诊及住院病人治疗，主要内容包括检查费，治疗费，药品费，水电费，人员经费支出等。</w:t>
      </w: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二、一般公共预算支出情况</w:t>
      </w:r>
    </w:p>
    <w:p>
      <w:pPr>
        <w:pStyle w:val="9"/>
        <w:spacing w:line="600" w:lineRule="exact"/>
        <w:ind w:firstLine="643"/>
        <w:jc w:val="both"/>
        <w:rPr>
          <w:rFonts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/>
          <w:kern w:val="0"/>
          <w:sz w:val="32"/>
          <w:szCs w:val="32"/>
          <w:lang w:eastAsia="zh-CN"/>
        </w:rPr>
        <w:t>（一）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基本支出情况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本院整体支出按量入为出及专款专用、专人管理的原则，使用情况总体收支平衡。基本支出259.49万元。</w:t>
      </w:r>
    </w:p>
    <w:p>
      <w:pPr>
        <w:pStyle w:val="9"/>
        <w:spacing w:line="600" w:lineRule="exact"/>
        <w:ind w:firstLine="643"/>
        <w:jc w:val="both"/>
        <w:rPr>
          <w:rFonts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/>
          <w:kern w:val="0"/>
          <w:sz w:val="32"/>
          <w:szCs w:val="32"/>
          <w:lang w:eastAsia="zh-CN"/>
        </w:rPr>
        <w:t>（二）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项目支出情况</w:t>
      </w:r>
    </w:p>
    <w:p>
      <w:pPr>
        <w:pStyle w:val="2"/>
        <w:numPr>
          <w:ilvl w:val="0"/>
          <w:numId w:val="0"/>
        </w:numPr>
        <w:spacing w:before="219" w:line="226" w:lineRule="auto"/>
        <w:rPr>
          <w:rFonts w:hint="default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 xml:space="preserve">  本单位无项目支出。</w:t>
      </w:r>
    </w:p>
    <w:p>
      <w:pPr>
        <w:numPr>
          <w:ilvl w:val="0"/>
          <w:numId w:val="0"/>
        </w:numPr>
        <w:spacing w:line="600" w:lineRule="exact"/>
        <w:ind w:left="640" w:leftChars="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val="en-US" w:eastAsia="zh-CN"/>
        </w:rPr>
        <w:t>三、</w:t>
      </w: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政府性基金预算支出情况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本单位无政府性基金预算支出。</w:t>
      </w:r>
    </w:p>
    <w:p>
      <w:pPr>
        <w:numPr>
          <w:ilvl w:val="0"/>
          <w:numId w:val="1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国有资本经营预算支出情况</w:t>
      </w:r>
    </w:p>
    <w:p>
      <w:pPr>
        <w:spacing w:line="600" w:lineRule="exact"/>
        <w:ind w:firstLine="640" w:firstLineChars="200"/>
        <w:jc w:val="both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本单位无国有资本经营预算支出。</w:t>
      </w:r>
    </w:p>
    <w:p>
      <w:pPr>
        <w:numPr>
          <w:ilvl w:val="0"/>
          <w:numId w:val="1"/>
        </w:numPr>
        <w:spacing w:line="360" w:lineRule="auto"/>
        <w:ind w:left="0" w:leftChars="0"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社会保险基金预算支出情况</w:t>
      </w:r>
    </w:p>
    <w:p>
      <w:pPr>
        <w:spacing w:line="600" w:lineRule="exact"/>
        <w:ind w:firstLine="640" w:firstLineChars="200"/>
        <w:jc w:val="both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本单位无社会保障基金预算支出</w:t>
      </w: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六、部门整体支出绩效情况</w:t>
      </w:r>
    </w:p>
    <w:p>
      <w:pPr>
        <w:spacing w:line="600" w:lineRule="exact"/>
        <w:ind w:firstLine="640" w:firstLineChars="200"/>
        <w:jc w:val="both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本单位整体支出绩效保持收支平衡，量入为出，专款专用、专人管理，完成情况较好。</w:t>
      </w: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七、存在的问题及原因分析</w:t>
      </w:r>
    </w:p>
    <w:p>
      <w:pPr>
        <w:spacing w:line="600" w:lineRule="exact"/>
        <w:ind w:firstLine="640" w:firstLineChars="200"/>
        <w:jc w:val="both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历年流动负债有增加趋势，主要原因为应付账款增加。医院财政拨款较少，每年预算为2.5万元，药品需求量较大，资金周转不过来。</w:t>
      </w:r>
    </w:p>
    <w:p>
      <w:pPr>
        <w:numPr>
          <w:ilvl w:val="0"/>
          <w:numId w:val="2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下一步改进措施</w:t>
      </w:r>
    </w:p>
    <w:p>
      <w:pPr>
        <w:numPr>
          <w:ilvl w:val="0"/>
          <w:numId w:val="0"/>
        </w:numPr>
        <w:spacing w:line="600" w:lineRule="exact"/>
        <w:jc w:val="both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 xml:space="preserve">  增收节支，对职工工资实行绩效考核。</w:t>
      </w:r>
    </w:p>
    <w:p>
      <w:pPr>
        <w:numPr>
          <w:ilvl w:val="0"/>
          <w:numId w:val="2"/>
        </w:numPr>
        <w:spacing w:line="600" w:lineRule="exact"/>
        <w:ind w:left="0" w:leftChars="0"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部门整体支出绩效自评结果拟应用和公开情况</w:t>
      </w:r>
    </w:p>
    <w:p>
      <w:pPr>
        <w:numPr>
          <w:ilvl w:val="0"/>
          <w:numId w:val="0"/>
        </w:numPr>
        <w:spacing w:line="600" w:lineRule="exact"/>
        <w:ind w:firstLine="536" w:firstLineChars="200"/>
        <w:jc w:val="both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 xml:space="preserve">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后续将继续努力改进绩效方案</w:t>
      </w:r>
    </w:p>
    <w:p>
      <w:pPr>
        <w:spacing w:line="600" w:lineRule="exact"/>
        <w:ind w:firstLine="640" w:firstLineChars="200"/>
        <w:jc w:val="both"/>
        <w:rPr>
          <w:rFonts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十、其他需要说明的情况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无</w:t>
      </w:r>
    </w:p>
    <w:p>
      <w:pPr>
        <w:spacing w:line="600" w:lineRule="exact"/>
        <w:jc w:val="both"/>
        <w:rPr>
          <w:rFonts w:hint="default" w:eastAsia="仿宋_GB2312"/>
          <w:kern w:val="0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报告需要以下附件：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1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、部门整体支出绩效评价基础数据表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2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、部门整体支出绩效自评表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3</w:t>
      </w:r>
      <w:r>
        <w:rPr>
          <w:rFonts w:hint="eastAsia" w:eastAsia="仿宋_GB2312"/>
          <w:kern w:val="0"/>
          <w:sz w:val="32"/>
          <w:szCs w:val="32"/>
          <w:lang w:eastAsia="zh-CN"/>
        </w:rPr>
        <w:t>、项目支出绩效自评表（每个一级项目支出一张表）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4</w:t>
      </w:r>
      <w:r>
        <w:rPr>
          <w:rFonts w:hint="eastAsia" w:eastAsia="仿宋_GB2312"/>
          <w:kern w:val="0"/>
          <w:sz w:val="32"/>
          <w:szCs w:val="32"/>
          <w:lang w:eastAsia="zh-CN"/>
        </w:rPr>
        <w:t>、政府性基金预算支出情况表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5</w:t>
      </w:r>
      <w:r>
        <w:rPr>
          <w:rFonts w:hint="eastAsia" w:eastAsia="仿宋_GB2312"/>
          <w:kern w:val="0"/>
          <w:sz w:val="32"/>
          <w:szCs w:val="32"/>
          <w:lang w:eastAsia="zh-CN"/>
        </w:rPr>
        <w:t>、国有资本经营预算支出情况表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6</w:t>
      </w:r>
      <w:r>
        <w:rPr>
          <w:rFonts w:hint="eastAsia" w:eastAsia="仿宋_GB2312"/>
          <w:kern w:val="0"/>
          <w:sz w:val="32"/>
          <w:szCs w:val="32"/>
          <w:lang w:eastAsia="zh-CN"/>
        </w:rPr>
        <w:t>、社会保险基金预算支出情况表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267" w:lineRule="auto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val="en-US" w:eastAsia="zh-CN"/>
        </w:rPr>
        <w:t>5</w:t>
      </w:r>
    </w:p>
    <w:p>
      <w:pPr>
        <w:spacing w:before="201" w:line="578" w:lineRule="exact"/>
        <w:ind w:left="2169"/>
        <w:rPr>
          <w:rFonts w:ascii="黑体" w:hAnsi="黑体" w:eastAsia="黑体" w:cs="黑体"/>
          <w:sz w:val="42"/>
          <w:szCs w:val="42"/>
        </w:rPr>
      </w:pPr>
      <w:r>
        <w:rPr>
          <w:rFonts w:ascii="Times New Roman" w:hAnsi="Times New Roman" w:eastAsia="Times New Roman" w:cs="Times New Roman"/>
          <w:spacing w:val="15"/>
          <w:position w:val="10"/>
          <w:sz w:val="42"/>
          <w:szCs w:val="42"/>
        </w:rPr>
        <w:t>202</w:t>
      </w:r>
      <w:r>
        <w:rPr>
          <w:rFonts w:hint="eastAsia" w:ascii="Times New Roman" w:hAnsi="Times New Roman" w:eastAsia="宋体" w:cs="Times New Roman"/>
          <w:spacing w:val="15"/>
          <w:position w:val="10"/>
          <w:sz w:val="42"/>
          <w:szCs w:val="42"/>
          <w:lang w:val="en-US" w:eastAsia="zh-CN"/>
        </w:rPr>
        <w:t>2</w:t>
      </w:r>
      <w:r>
        <w:rPr>
          <w:rFonts w:ascii="Times New Roman" w:hAnsi="Times New Roman" w:eastAsia="Times New Roman" w:cs="Times New Roman"/>
          <w:spacing w:val="41"/>
          <w:position w:val="10"/>
          <w:sz w:val="42"/>
          <w:szCs w:val="42"/>
        </w:rPr>
        <w:t xml:space="preserve"> </w:t>
      </w:r>
      <w:r>
        <w:rPr>
          <w:rFonts w:ascii="黑体" w:hAnsi="黑体" w:eastAsia="黑体" w:cs="黑体"/>
          <w:spacing w:val="15"/>
          <w:position w:val="10"/>
          <w:sz w:val="42"/>
          <w:szCs w:val="42"/>
        </w:rPr>
        <w:t>年度项目支出</w:t>
      </w:r>
    </w:p>
    <w:p>
      <w:pPr>
        <w:spacing w:before="1" w:line="220" w:lineRule="auto"/>
        <w:ind w:left="3069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spacing w:val="10"/>
          <w:sz w:val="42"/>
          <w:szCs w:val="42"/>
        </w:rPr>
        <w:t>绩效自评报告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89" w:line="221" w:lineRule="auto"/>
        <w:ind w:left="2270"/>
        <w:rPr>
          <w:sz w:val="27"/>
          <w:szCs w:val="27"/>
        </w:rPr>
      </w:pPr>
      <w:r>
        <w:rPr>
          <w:spacing w:val="-22"/>
          <w:sz w:val="27"/>
          <w:szCs w:val="27"/>
        </w:rPr>
        <w:t>单</w:t>
      </w:r>
      <w:r>
        <w:rPr>
          <w:spacing w:val="-19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位</w:t>
      </w:r>
      <w:r>
        <w:rPr>
          <w:spacing w:val="-43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名</w:t>
      </w:r>
      <w:r>
        <w:rPr>
          <w:spacing w:val="-37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称</w:t>
      </w:r>
      <w:r>
        <w:rPr>
          <w:spacing w:val="-54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：</w:t>
      </w:r>
      <w:r>
        <w:rPr>
          <w:spacing w:val="-22"/>
          <w:sz w:val="27"/>
          <w:szCs w:val="27"/>
          <w:u w:val="single" w:color="auto"/>
        </w:rPr>
        <w:t xml:space="preserve"> </w:t>
      </w:r>
      <w:r>
        <w:rPr>
          <w:rFonts w:hint="eastAsia"/>
          <w:spacing w:val="-22"/>
          <w:sz w:val="27"/>
          <w:szCs w:val="27"/>
          <w:u w:val="single" w:color="auto"/>
          <w:lang w:val="en-US" w:eastAsia="zh-CN"/>
        </w:rPr>
        <w:t>汨罗市罗城医院</w:t>
      </w:r>
      <w:r>
        <w:rPr>
          <w:spacing w:val="-22"/>
          <w:sz w:val="27"/>
          <w:szCs w:val="27"/>
          <w:u w:val="single" w:color="auto"/>
        </w:rPr>
        <w:t xml:space="preserve">  (</w:t>
      </w:r>
      <w:r>
        <w:rPr>
          <w:spacing w:val="68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盖</w:t>
      </w:r>
      <w:r>
        <w:rPr>
          <w:spacing w:val="64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章</w:t>
      </w:r>
      <w:r>
        <w:rPr>
          <w:spacing w:val="55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)</w:t>
      </w:r>
      <w:r>
        <w:rPr>
          <w:sz w:val="27"/>
          <w:szCs w:val="27"/>
          <w:u w:val="single" w:color="auto"/>
        </w:rPr>
        <w:t xml:space="preserve">     </w:t>
      </w:r>
    </w:p>
    <w:p>
      <w:pPr>
        <w:pStyle w:val="2"/>
        <w:spacing w:before="289" w:line="610" w:lineRule="exact"/>
        <w:ind w:left="3490"/>
        <w:rPr>
          <w:sz w:val="27"/>
          <w:szCs w:val="27"/>
        </w:rPr>
      </w:pPr>
      <w:r>
        <w:rPr>
          <w:rFonts w:hint="eastAsia"/>
          <w:spacing w:val="-13"/>
          <w:position w:val="26"/>
          <w:sz w:val="27"/>
          <w:szCs w:val="27"/>
          <w:lang w:val="en-US" w:eastAsia="zh-CN"/>
        </w:rPr>
        <w:t xml:space="preserve">2023 </w:t>
      </w:r>
      <w:r>
        <w:rPr>
          <w:spacing w:val="-13"/>
          <w:position w:val="26"/>
          <w:sz w:val="27"/>
          <w:szCs w:val="27"/>
        </w:rPr>
        <w:t xml:space="preserve">年 </w:t>
      </w:r>
      <w:r>
        <w:rPr>
          <w:rFonts w:hint="eastAsia"/>
          <w:spacing w:val="-13"/>
          <w:position w:val="26"/>
          <w:sz w:val="27"/>
          <w:szCs w:val="27"/>
          <w:lang w:val="en-US" w:eastAsia="zh-CN"/>
        </w:rPr>
        <w:t xml:space="preserve">7 </w:t>
      </w:r>
      <w:r>
        <w:rPr>
          <w:spacing w:val="-13"/>
          <w:position w:val="26"/>
          <w:sz w:val="27"/>
          <w:szCs w:val="27"/>
        </w:rPr>
        <w:t>月</w:t>
      </w:r>
      <w:r>
        <w:rPr>
          <w:rFonts w:hint="eastAsia"/>
          <w:spacing w:val="-13"/>
          <w:position w:val="26"/>
          <w:sz w:val="27"/>
          <w:szCs w:val="27"/>
          <w:lang w:val="en-US" w:eastAsia="zh-CN"/>
        </w:rPr>
        <w:t xml:space="preserve"> </w:t>
      </w:r>
      <w:r>
        <w:rPr>
          <w:rFonts w:hint="eastAsia"/>
          <w:spacing w:val="12"/>
          <w:position w:val="26"/>
          <w:sz w:val="27"/>
          <w:szCs w:val="27"/>
          <w:lang w:val="en-US" w:eastAsia="zh-CN"/>
        </w:rPr>
        <w:t xml:space="preserve">3 </w:t>
      </w:r>
      <w:r>
        <w:rPr>
          <w:spacing w:val="-13"/>
          <w:position w:val="26"/>
          <w:sz w:val="27"/>
          <w:szCs w:val="27"/>
        </w:rPr>
        <w:t>日</w:t>
      </w:r>
    </w:p>
    <w:p>
      <w:pPr>
        <w:pStyle w:val="2"/>
        <w:spacing w:before="1" w:line="223" w:lineRule="auto"/>
        <w:ind w:left="3560"/>
        <w:rPr>
          <w:sz w:val="24"/>
          <w:szCs w:val="24"/>
        </w:rPr>
      </w:pPr>
      <w:r>
        <w:rPr>
          <w:spacing w:val="7"/>
          <w:sz w:val="24"/>
          <w:szCs w:val="24"/>
        </w:rPr>
        <w:t>(此面为封面)</w:t>
      </w:r>
    </w:p>
    <w:p>
      <w:pPr>
        <w:spacing w:line="223" w:lineRule="auto"/>
        <w:rPr>
          <w:sz w:val="24"/>
          <w:szCs w:val="24"/>
        </w:rPr>
        <w:sectPr>
          <w:footerReference r:id="rId6" w:type="default"/>
          <w:pgSz w:w="11900" w:h="16820"/>
          <w:pgMar w:top="1429" w:right="1782" w:bottom="1158" w:left="1450" w:header="0" w:footer="850" w:gutter="0"/>
          <w:cols w:space="720" w:num="1"/>
        </w:sectPr>
      </w:pPr>
    </w:p>
    <w:p>
      <w:pPr>
        <w:spacing w:before="137" w:line="221" w:lineRule="auto"/>
        <w:ind w:left="2336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b/>
          <w:bCs/>
          <w:spacing w:val="6"/>
          <w:sz w:val="42"/>
          <w:szCs w:val="42"/>
        </w:rPr>
        <w:t>项目支出绩效评价报告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outlineLvl w:val="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无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outlineLvl w:val="0"/>
        <w:rPr>
          <w:rFonts w:hint="eastAsia" w:eastAsia="仿宋_GB2312"/>
          <w:kern w:val="0"/>
          <w:sz w:val="32"/>
          <w:szCs w:val="32"/>
          <w:lang w:eastAsia="zh-CN"/>
        </w:rPr>
      </w:pPr>
    </w:p>
    <w:sectPr>
      <w:footerReference r:id="rId7" w:type="default"/>
      <w:pgSz w:w="11900" w:h="16820"/>
      <w:pgMar w:top="1755" w:right="1227" w:bottom="1485" w:left="1011" w:header="0" w:footer="9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141"/>
      <w:docPartObj>
        <w:docPartGallery w:val="autotext"/>
      </w:docPartObj>
    </w:sdtPr>
    <w:sdtEndPr>
      <w:rPr>
        <w:rFonts w:hint="eastAsia"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</w:rPr>
        </w:pPr>
      </w:p>
    </w:sdtContent>
  </w:sdt>
  <w:p>
    <w:pPr>
      <w:spacing w:line="14" w:lineRule="auto"/>
      <w:jc w:val="left"/>
      <w:rPr>
        <w:kern w:val="0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jc w:val="right"/>
      <w:rPr>
        <w:rFonts w:ascii="宋体" w:hAnsi="宋体" w:eastAsia="宋体" w:cs="宋体"/>
        <w:sz w:val="31"/>
        <w:szCs w:val="31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274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A474DF"/>
    <w:multiLevelType w:val="singleLevel"/>
    <w:tmpl w:val="A1A474D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5CFD4D1"/>
    <w:multiLevelType w:val="singleLevel"/>
    <w:tmpl w:val="65CFD4D1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JmNGE5ODBmYjRiODc2YmE2MDMxZWIyN2Q2MGNjZTUifQ=="/>
  </w:docVars>
  <w:rsids>
    <w:rsidRoot w:val="00000000"/>
    <w:rsid w:val="01AF3811"/>
    <w:rsid w:val="033D7134"/>
    <w:rsid w:val="03795BF7"/>
    <w:rsid w:val="037B433C"/>
    <w:rsid w:val="086E756B"/>
    <w:rsid w:val="0ACF37E5"/>
    <w:rsid w:val="0B400BC6"/>
    <w:rsid w:val="0D441024"/>
    <w:rsid w:val="0E68228D"/>
    <w:rsid w:val="10280593"/>
    <w:rsid w:val="15276E52"/>
    <w:rsid w:val="19D32FBC"/>
    <w:rsid w:val="1E6A4395"/>
    <w:rsid w:val="25557A3D"/>
    <w:rsid w:val="25BD3AB7"/>
    <w:rsid w:val="26EA5ED7"/>
    <w:rsid w:val="27A93B82"/>
    <w:rsid w:val="2AE00186"/>
    <w:rsid w:val="2B21092A"/>
    <w:rsid w:val="2CF717B7"/>
    <w:rsid w:val="308216BE"/>
    <w:rsid w:val="34FE1149"/>
    <w:rsid w:val="3A550786"/>
    <w:rsid w:val="3B7A130F"/>
    <w:rsid w:val="3E246184"/>
    <w:rsid w:val="3ED4423A"/>
    <w:rsid w:val="494A31DB"/>
    <w:rsid w:val="4EC34D46"/>
    <w:rsid w:val="4F8B6063"/>
    <w:rsid w:val="4FBC2023"/>
    <w:rsid w:val="52FA3F96"/>
    <w:rsid w:val="55850F17"/>
    <w:rsid w:val="57AE6D93"/>
    <w:rsid w:val="58254B7B"/>
    <w:rsid w:val="5C846314"/>
    <w:rsid w:val="5D444736"/>
    <w:rsid w:val="5FB623A7"/>
    <w:rsid w:val="669C594C"/>
    <w:rsid w:val="6D3E4E45"/>
    <w:rsid w:val="6E3851B0"/>
    <w:rsid w:val="7AD324E9"/>
    <w:rsid w:val="7D661304"/>
    <w:rsid w:val="7ED67756"/>
    <w:rsid w:val="FE37A0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qFormat/>
    <w:uiPriority w:val="99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hAnsi="Arial" w:eastAsia="Arial" w:cs="Arial"/>
      <w:snapToGrid w:val="0"/>
      <w:color w:val="000000"/>
      <w:sz w:val="18"/>
      <w:szCs w:val="18"/>
      <w:lang w:val="en-US" w:eastAsia="en-US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9">
    <w:name w:val="List Paragraph"/>
    <w:unhideWhenUsed/>
    <w:qFormat/>
    <w:uiPriority w:val="99"/>
    <w:pPr>
      <w:kinsoku w:val="0"/>
      <w:autoSpaceDE w:val="0"/>
      <w:autoSpaceDN w:val="0"/>
      <w:adjustRightInd w:val="0"/>
      <w:snapToGrid w:val="0"/>
      <w:ind w:firstLine="420" w:firstLineChars="20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2351</Words>
  <Characters>2534</Characters>
  <TotalTime>2</TotalTime>
  <ScaleCrop>false</ScaleCrop>
  <LinksUpToDate>false</LinksUpToDate>
  <CharactersWithSpaces>2613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2024-04-20T05:25:00Z</dcterms:created>
  <dc:creator>Administrator</dc:creator>
  <cp:lastModifiedBy>与你无关</cp:lastModifiedBy>
  <cp:lastPrinted>2024-05-21T22:05:00Z</cp:lastPrinted>
  <dcterms:modified xsi:type="dcterms:W3CDTF">2024-07-26T03:09:57Z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2052-12.1.0.16929</vt:lpwstr>
  </property>
  <property fmtid="{D5CDD505-2E9C-101B-9397-08002B2CF9AE}" pid="6" name="ICV">
    <vt:lpwstr>D11A4ED1169E403099122514ED789865_13</vt:lpwstr>
  </property>
</Properties>
</file>